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A1AF5" w14:textId="77777777" w:rsidR="005A3595" w:rsidRDefault="005A3595" w:rsidP="005A3595">
      <w:pPr>
        <w:spacing w:before="240"/>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0658FBE1" w14:textId="77777777" w:rsidR="005A3595" w:rsidRPr="00FD215B" w:rsidRDefault="005A3595" w:rsidP="005A3595">
      <w:pPr>
        <w:tabs>
          <w:tab w:val="left" w:pos="-284"/>
          <w:tab w:val="left" w:pos="0"/>
          <w:tab w:val="left" w:pos="9923"/>
        </w:tabs>
        <w:spacing w:after="0"/>
        <w:jc w:val="center"/>
        <w:rPr>
          <w:rFonts w:ascii="DecimaWE Rg" w:hAnsi="DecimaWE Rg"/>
          <w:b/>
          <w:color w:val="1F497D" w:themeColor="text2"/>
          <w:sz w:val="28"/>
          <w:szCs w:val="28"/>
          <w:lang w:val="x-none"/>
        </w:rPr>
      </w:pPr>
    </w:p>
    <w:p w14:paraId="1EC3962C" w14:textId="77777777" w:rsidR="005A3595" w:rsidRPr="006628E5" w:rsidRDefault="005A3595" w:rsidP="005A3595">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14:paraId="651D5879" w14:textId="074CAC75"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2380A9BF" w14:textId="40740AC6" w:rsidR="005A3595" w:rsidRDefault="005A3595" w:rsidP="00EC43CE">
      <w:pPr>
        <w:tabs>
          <w:tab w:val="left" w:pos="-284"/>
          <w:tab w:val="left" w:pos="0"/>
          <w:tab w:val="left" w:pos="9923"/>
        </w:tabs>
        <w:jc w:val="center"/>
        <w:rPr>
          <w:rFonts w:ascii="DecimaWE Rg" w:hAnsi="DecimaWE Rg" w:cs="Arial"/>
          <w:b/>
          <w:color w:val="1F497D" w:themeColor="text2"/>
          <w:sz w:val="48"/>
          <w:szCs w:val="48"/>
        </w:rPr>
      </w:pPr>
    </w:p>
    <w:p w14:paraId="3ECE1AE2" w14:textId="77777777" w:rsidR="005A3595" w:rsidRDefault="005A3595" w:rsidP="00EC43CE">
      <w:pPr>
        <w:tabs>
          <w:tab w:val="left" w:pos="-284"/>
          <w:tab w:val="left" w:pos="0"/>
          <w:tab w:val="left" w:pos="9923"/>
        </w:tabs>
        <w:jc w:val="center"/>
        <w:rPr>
          <w:rFonts w:ascii="DecimaWE Rg" w:hAnsi="DecimaWE Rg" w:cs="Arial"/>
          <w:b/>
          <w:color w:val="1F497D" w:themeColor="text2"/>
          <w:sz w:val="48"/>
          <w:szCs w:val="48"/>
        </w:rPr>
      </w:pPr>
    </w:p>
    <w:p w14:paraId="31D7F48C" w14:textId="0414C7A2"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054430">
        <w:rPr>
          <w:rFonts w:ascii="DecimaWE Rg" w:hAnsi="DecimaWE Rg" w:cs="Arial"/>
          <w:b/>
          <w:color w:val="1F497D" w:themeColor="text2"/>
          <w:sz w:val="48"/>
          <w:szCs w:val="48"/>
        </w:rPr>
        <w:t>18-2</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71E6BAA9" w14:textId="77777777" w:rsidR="00347910"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DICHIARAZIONI</w:t>
      </w:r>
      <w:r w:rsidR="00A56AC3">
        <w:rPr>
          <w:rFonts w:ascii="Century Gothic" w:hAnsi="Century Gothic"/>
          <w:b/>
          <w:color w:val="1F497D" w:themeColor="text2"/>
          <w:sz w:val="40"/>
          <w:szCs w:val="36"/>
        </w:rPr>
        <w:t xml:space="preserve"> PER </w:t>
      </w:r>
      <w:r>
        <w:rPr>
          <w:rFonts w:ascii="Century Gothic" w:hAnsi="Century Gothic"/>
          <w:b/>
          <w:color w:val="1F497D" w:themeColor="text2"/>
          <w:sz w:val="40"/>
          <w:szCs w:val="36"/>
        </w:rPr>
        <w:t>COMPONENTI</w:t>
      </w:r>
      <w:r w:rsidR="00A56AC3">
        <w:rPr>
          <w:rFonts w:ascii="Century Gothic" w:hAnsi="Century Gothic"/>
          <w:b/>
          <w:color w:val="1F497D" w:themeColor="text2"/>
          <w:sz w:val="40"/>
          <w:szCs w:val="36"/>
        </w:rPr>
        <w:t xml:space="preserve"> ATI/ATS </w:t>
      </w:r>
    </w:p>
    <w:p w14:paraId="1754B6F5" w14:textId="73146EAC" w:rsidR="00EC43CE" w:rsidRPr="00DD0BE4"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(non capofila)</w:t>
      </w:r>
    </w:p>
    <w:p w14:paraId="125AC425" w14:textId="67BC7905" w:rsidR="00B34467" w:rsidRDefault="00B34467" w:rsidP="005A3595">
      <w:pPr>
        <w:tabs>
          <w:tab w:val="left" w:pos="-284"/>
          <w:tab w:val="left" w:pos="0"/>
          <w:tab w:val="left" w:pos="9923"/>
        </w:tabs>
        <w:rPr>
          <w:rFonts w:ascii="Century Gothic" w:hAnsi="Century Gothic"/>
          <w:b/>
          <w:color w:val="1F497D" w:themeColor="text2"/>
          <w:sz w:val="48"/>
          <w:szCs w:val="48"/>
        </w:rPr>
      </w:pPr>
    </w:p>
    <w:p w14:paraId="3A5BC790" w14:textId="77777777" w:rsidR="005A3595" w:rsidRPr="003C1604" w:rsidRDefault="005A3595" w:rsidP="005A3595">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14:paraId="6E03BFBE" w14:textId="77777777" w:rsidR="005A3595" w:rsidRDefault="005A3595" w:rsidP="005A3595">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14:paraId="20DFD376" w14:textId="77777777" w:rsidR="005A3595" w:rsidRPr="006628E5" w:rsidRDefault="005A3595" w:rsidP="005A3595">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 xml:space="preserve">Art. 68 par. 1 </w:t>
      </w:r>
      <w:proofErr w:type="spellStart"/>
      <w:r w:rsidRPr="003C1604">
        <w:rPr>
          <w:rFonts w:ascii="DecimaWE Rg" w:hAnsi="DecimaWE Rg"/>
          <w:b/>
          <w:bCs/>
          <w:color w:val="1F497D" w:themeColor="text2"/>
          <w:sz w:val="28"/>
          <w:szCs w:val="28"/>
        </w:rPr>
        <w:t>lett</w:t>
      </w:r>
      <w:proofErr w:type="spellEnd"/>
      <w:r w:rsidRPr="003C1604">
        <w:rPr>
          <w:rFonts w:ascii="DecimaWE Rg" w:hAnsi="DecimaWE Rg"/>
          <w:b/>
          <w:bCs/>
          <w:color w:val="1F497D" w:themeColor="text2"/>
          <w:sz w:val="28"/>
          <w:szCs w:val="28"/>
        </w:rPr>
        <w: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14:paraId="3D00391F" w14:textId="77777777" w:rsidR="00B34467" w:rsidRPr="009C3C3C" w:rsidRDefault="00B34467" w:rsidP="00B34467">
      <w:pPr>
        <w:tabs>
          <w:tab w:val="left" w:pos="-284"/>
          <w:tab w:val="left" w:pos="0"/>
          <w:tab w:val="left" w:pos="9923"/>
        </w:tabs>
        <w:jc w:val="center"/>
        <w:rPr>
          <w:rFonts w:ascii="Century Gothic" w:hAnsi="Century Gothic"/>
          <w:b/>
          <w:bCs/>
          <w:color w:val="1F497D" w:themeColor="text2"/>
          <w:sz w:val="28"/>
          <w:szCs w:val="28"/>
          <w:lang w:val="en-US"/>
        </w:rPr>
      </w:pPr>
    </w:p>
    <w:p w14:paraId="410C42CA" w14:textId="21C192F1" w:rsidR="00B34467" w:rsidRPr="00823E75" w:rsidRDefault="00B34467" w:rsidP="00B34467">
      <w:pPr>
        <w:rPr>
          <w:rFonts w:ascii="DecimaWE Rg" w:hAnsi="DecimaWE Rg"/>
          <w:lang w:val="en-US"/>
        </w:rPr>
      </w:pPr>
    </w:p>
    <w:p w14:paraId="0E6B0F56" w14:textId="77777777" w:rsidR="00B34467" w:rsidRPr="00823E75" w:rsidRDefault="00B34467" w:rsidP="00B34467">
      <w:pPr>
        <w:rPr>
          <w:rFonts w:ascii="DecimaWE Rg" w:hAnsi="DecimaWE Rg"/>
          <w:lang w:val="en-US"/>
        </w:rPr>
      </w:pPr>
    </w:p>
    <w:p w14:paraId="6B0EB7C5" w14:textId="2FD4747F" w:rsidR="005C75E3" w:rsidRPr="00B34467" w:rsidRDefault="00130451" w:rsidP="00130451">
      <w:pPr>
        <w:tabs>
          <w:tab w:val="left" w:pos="1161"/>
          <w:tab w:val="center" w:pos="4819"/>
        </w:tabs>
        <w:spacing w:before="120"/>
        <w:rPr>
          <w:rFonts w:ascii="DecimaWE Rg" w:hAnsi="DecimaWE Rg"/>
          <w:b/>
          <w:color w:val="1F497D" w:themeColor="text2"/>
          <w:sz w:val="48"/>
          <w:szCs w:val="48"/>
          <w:lang w:val="x-none"/>
        </w:rPr>
      </w:pPr>
      <w:r>
        <w:rPr>
          <w:rFonts w:ascii="DecimaWE Rg" w:hAnsi="DecimaWE Rg"/>
          <w:b/>
          <w:color w:val="1F497D" w:themeColor="text2"/>
          <w:sz w:val="48"/>
          <w:szCs w:val="48"/>
          <w:lang w:val="x-none"/>
        </w:rPr>
        <w:tab/>
      </w:r>
      <w:r>
        <w:rPr>
          <w:rFonts w:ascii="DecimaWE Rg" w:hAnsi="DecimaWE Rg"/>
          <w:b/>
          <w:color w:val="1F497D" w:themeColor="text2"/>
          <w:sz w:val="48"/>
          <w:szCs w:val="48"/>
          <w:lang w:val="x-none"/>
        </w:rPr>
        <w:tab/>
      </w:r>
      <w:r w:rsidR="005A3595">
        <w:rPr>
          <w:rFonts w:ascii="DecimaWE Rg" w:hAnsi="DecimaWE Rg"/>
          <w:b/>
          <w:color w:val="1F497D" w:themeColor="text2"/>
          <w:sz w:val="48"/>
          <w:szCs w:val="48"/>
          <w:lang w:val="x-none"/>
        </w:rPr>
        <w:t>2022</w:t>
      </w:r>
    </w:p>
    <w:p w14:paraId="2EACF861" w14:textId="77777777" w:rsidR="00EC43CE" w:rsidRDefault="00061367" w:rsidP="00061367">
      <w:pPr>
        <w:tabs>
          <w:tab w:val="left" w:pos="1816"/>
        </w:tabs>
      </w:pPr>
      <w:r>
        <w:lastRenderedPageBreak/>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5ED16112" w14:textId="77777777"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4AAE0B0D" w14:textId="77777777" w:rsidR="00B1643A" w:rsidRDefault="00B1643A" w:rsidP="00B1643A">
      <w:pPr>
        <w:spacing w:before="360" w:after="120" w:line="20" w:lineRule="exact"/>
        <w:jc w:val="center"/>
        <w:rPr>
          <w:rFonts w:ascii="DecimaWE Rg" w:hAnsi="DecimaWE Rg" w:cs="Arial"/>
          <w:b/>
        </w:rPr>
      </w:pPr>
      <w:bookmarkStart w:id="0" w:name="_Toc473624011"/>
      <w:r w:rsidRPr="000A354E">
        <w:rPr>
          <w:rFonts w:ascii="DecimaWE Rg" w:hAnsi="DecimaWE Rg" w:cs="Arial"/>
          <w:b/>
        </w:rPr>
        <w:t xml:space="preserve">Art. 68 par. 1 </w:t>
      </w:r>
      <w:proofErr w:type="spellStart"/>
      <w:r w:rsidRPr="000A354E">
        <w:rPr>
          <w:rFonts w:ascii="DecimaWE Rg" w:hAnsi="DecimaWE Rg" w:cs="Arial"/>
          <w:b/>
        </w:rPr>
        <w:t>lett</w:t>
      </w:r>
      <w:proofErr w:type="spellEnd"/>
      <w:r w:rsidRPr="000A354E">
        <w:rPr>
          <w:rFonts w:ascii="DecimaWE Rg" w:hAnsi="DecimaWE Rg" w:cs="Arial"/>
          <w:b/>
        </w:rPr>
        <w:t>. b), c), d), e), g) del Reg. (UE) n. 508/2014</w:t>
      </w:r>
    </w:p>
    <w:p w14:paraId="11EACAD1" w14:textId="77777777" w:rsidR="00B1643A" w:rsidRPr="00455BD4" w:rsidRDefault="00B1643A" w:rsidP="00B1643A">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5.68</w:t>
      </w:r>
      <w:r w:rsidRPr="00455BD4">
        <w:rPr>
          <w:rFonts w:ascii="DecimaWE Rg" w:hAnsi="DecimaWE Rg" w:cs="Arial"/>
          <w:b/>
        </w:rPr>
        <w:t xml:space="preserve"> “</w:t>
      </w:r>
      <w:r w:rsidRPr="000A354E">
        <w:rPr>
          <w:rFonts w:ascii="DecimaWE Rg" w:hAnsi="DecimaWE Rg" w:cs="Arial"/>
          <w:b/>
        </w:rPr>
        <w:t>Misure a favore della commercializzazione</w:t>
      </w:r>
      <w:r w:rsidRPr="00455BD4">
        <w:rPr>
          <w:rFonts w:ascii="DecimaWE Rg" w:hAnsi="DecimaWE Rg" w:cs="Arial"/>
          <w:b/>
        </w:rPr>
        <w:t>”</w:t>
      </w: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r w:rsidRPr="009D27C8">
        <w:rPr>
          <w:rFonts w:ascii="DecimaWE Rg" w:eastAsia="Calibri" w:hAnsi="DecimaWE Rg" w:cs="DecimaWE Rg"/>
          <w:bCs w:val="0"/>
          <w:color w:val="auto"/>
          <w:sz w:val="22"/>
          <w:szCs w:val="22"/>
        </w:rPr>
        <w:t>Dati indentificativi del richiedente</w:t>
      </w:r>
      <w:bookmarkEnd w:id="0"/>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EBAC991" w:rsidR="00506D60" w:rsidRPr="009D63E2" w:rsidRDefault="0037783D" w:rsidP="00565150">
            <w:pPr>
              <w:rPr>
                <w:rFonts w:ascii="DecimaWE Rg" w:hAnsi="DecimaWE Rg" w:cs="DecimaWE Rg"/>
              </w:rPr>
            </w:pPr>
            <w:r w:rsidRPr="003E62A4">
              <w:rPr>
                <w:rFonts w:ascii="DecimaWE Rg" w:hAnsi="DecimaWE Rg" w:cs="DecimaWE Rg"/>
                <w:color w:val="A6A6A6" w:themeColor="background1" w:themeShade="A6"/>
              </w:rPr>
              <w:t>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_/___</w:t>
            </w:r>
            <w:r w:rsidR="00F73DEB" w:rsidRPr="003E62A4">
              <w:rPr>
                <w:rFonts w:ascii="DecimaWE Rg" w:hAnsi="DecimaWE Rg" w:cs="DecimaWE Rg"/>
                <w:color w:val="A6A6A6" w:themeColor="background1" w:themeShade="A6"/>
              </w:rPr>
              <w:t>____</w:t>
            </w:r>
            <w:r w:rsidRPr="003E62A4">
              <w:rPr>
                <w:rFonts w:ascii="DecimaWE Rg" w:hAnsi="DecimaWE Rg" w:cs="DecimaWE Rg"/>
                <w:color w:val="A6A6A6" w:themeColor="background1" w:themeShade="A6"/>
              </w:rPr>
              <w:t>_</w:t>
            </w:r>
            <w:r w:rsidR="00E76706" w:rsidRPr="003E62A4">
              <w:rPr>
                <w:rFonts w:ascii="DecimaWE Rg" w:hAnsi="DecimaWE Rg" w:cs="DecimaWE Rg"/>
                <w:color w:val="A6A6A6" w:themeColor="background1" w:themeShade="A6"/>
              </w:rPr>
              <w:t xml:space="preserve"> </w:t>
            </w:r>
            <w:r w:rsidR="00E76706" w:rsidRPr="009D63E2">
              <w:rPr>
                <w:rFonts w:ascii="DecimaWE Rg" w:hAnsi="DecimaWE Rg" w:cs="DecimaWE Rg"/>
                <w:color w:val="A6A6A6" w:themeColor="background1" w:themeShade="A6"/>
              </w:rPr>
              <w:t>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1D949F0D" w:rsidR="00506D60" w:rsidRPr="009D63E2" w:rsidRDefault="00506D60" w:rsidP="00565150">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C66C79">
              <w:rPr>
                <w:rFonts w:ascii="DecimaWE Rg" w:hAnsi="DecimaWE Rg" w:cs="DecimaWE Rg"/>
              </w:rPr>
            </w:r>
            <w:r w:rsidR="00C66C79">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C66C79">
              <w:rPr>
                <w:rFonts w:ascii="DecimaWE Rg" w:hAnsi="DecimaWE Rg" w:cs="DecimaWE Rg"/>
              </w:rPr>
            </w:r>
            <w:r w:rsidR="00C66C79">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4A9121BF"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sidR="0088011A">
        <w:rPr>
          <w:rFonts w:ascii="DecimaWE Rg" w:hAnsi="DecimaWE Rg" w:cs="DecimaWE Rg"/>
          <w:bCs/>
        </w:rPr>
        <w:t xml:space="preserve"> </w:t>
      </w:r>
      <w:r w:rsidRPr="00170F44">
        <w:rPr>
          <w:rFonts w:ascii="DecimaWE Rg" w:hAnsi="DecimaWE Rg" w:cs="DecimaWE Rg"/>
          <w:bCs/>
        </w:rPr>
        <w:t>legale rappresentante</w:t>
      </w:r>
      <w:r>
        <w:rPr>
          <w:rFonts w:ascii="DecimaWE Rg" w:hAnsi="DecimaWE Rg" w:cs="DecimaWE Rg"/>
          <w:bCs/>
        </w:rPr>
        <w:t xml:space="preserve"> </w:t>
      </w:r>
      <w:r w:rsidR="0088011A">
        <w:rPr>
          <w:rFonts w:ascii="DecimaWE Rg" w:hAnsi="DecimaWE Rg" w:cs="DecimaWE Rg"/>
          <w:bCs/>
        </w:rPr>
        <w:t>dell’Organizzazione di Produttori</w:t>
      </w:r>
      <w:r w:rsidRPr="00213BCE">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3"/>
        <w:gridCol w:w="305"/>
        <w:gridCol w:w="522"/>
        <w:gridCol w:w="1529"/>
        <w:gridCol w:w="85"/>
        <w:gridCol w:w="1533"/>
        <w:gridCol w:w="14"/>
        <w:gridCol w:w="1877"/>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2"/>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2"/>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4"/>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4"/>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9"/>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88011A">
        <w:tc>
          <w:tcPr>
            <w:tcW w:w="1330" w:type="pct"/>
            <w:gridSpan w:val="2"/>
            <w:tcBorders>
              <w:top w:val="single" w:sz="4" w:space="0" w:color="auto"/>
              <w:left w:val="single" w:sz="4" w:space="0" w:color="auto"/>
              <w:bottom w:val="single" w:sz="4" w:space="0" w:color="auto"/>
              <w:right w:val="single" w:sz="4" w:space="0" w:color="auto"/>
            </w:tcBorders>
            <w:shd w:val="clear" w:color="auto" w:fill="auto"/>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7"/>
            <w:tcBorders>
              <w:top w:val="single" w:sz="4" w:space="0" w:color="auto"/>
              <w:left w:val="single" w:sz="4" w:space="0" w:color="auto"/>
              <w:bottom w:val="single" w:sz="4" w:space="0" w:color="auto"/>
              <w:right w:val="single" w:sz="4" w:space="0" w:color="auto"/>
            </w:tcBorders>
            <w:shd w:val="clear" w:color="auto" w:fill="auto"/>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4986D77" w14:textId="77777777" w:rsidR="00DB746D" w:rsidRPr="009D63E2" w:rsidRDefault="00DB746D" w:rsidP="0049283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DB746D" w:rsidRPr="00663DB2" w14:paraId="6AF0BBD5" w14:textId="77777777"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2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7" w:type="pct"/>
            <w:gridSpan w:val="2"/>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7" w:type="pct"/>
            <w:gridSpan w:val="2"/>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025E734A" w14:textId="77777777" w:rsidR="00054430" w:rsidRDefault="00054430" w:rsidP="00054430">
      <w:pPr>
        <w:tabs>
          <w:tab w:val="left" w:pos="10348"/>
        </w:tabs>
        <w:spacing w:before="120" w:after="120"/>
        <w:jc w:val="both"/>
        <w:rPr>
          <w:rFonts w:ascii="DecimaWE Rg" w:hAnsi="DecimaWE Rg" w:cs="Arial"/>
        </w:rPr>
      </w:pPr>
    </w:p>
    <w:p w14:paraId="27D2BE82" w14:textId="6D025741" w:rsidR="009123C1" w:rsidRPr="00054430" w:rsidRDefault="00054430" w:rsidP="00054430">
      <w:pPr>
        <w:tabs>
          <w:tab w:val="left" w:pos="10348"/>
        </w:tabs>
        <w:spacing w:before="120" w:after="120"/>
        <w:jc w:val="both"/>
        <w:rPr>
          <w:rFonts w:ascii="DecimaWE Rg" w:hAnsi="DecimaWE Rg" w:cs="DecimaWE Rg"/>
          <w:bCs/>
        </w:rPr>
      </w:pPr>
      <w:r>
        <w:rPr>
          <w:rFonts w:ascii="DecimaWE Rg" w:hAnsi="DecimaWE Rg" w:cs="Arial"/>
        </w:rPr>
        <w:t xml:space="preserve">In relazione all’istanza </w:t>
      </w:r>
      <w:r w:rsidR="002C3999" w:rsidRPr="00054430">
        <w:rPr>
          <w:rFonts w:ascii="DecimaWE Rg" w:hAnsi="DecimaWE Rg" w:cs="Arial"/>
        </w:rPr>
        <w:t xml:space="preserve">per </w:t>
      </w:r>
      <w:r w:rsidR="002C3999" w:rsidRPr="00054430">
        <w:rPr>
          <w:rFonts w:ascii="DecimaWE Rg" w:hAnsi="DecimaWE Rg" w:cs="DecimaWE Rg"/>
          <w:bCs/>
        </w:rPr>
        <w:t>la concessione</w:t>
      </w:r>
      <w:r>
        <w:rPr>
          <w:rFonts w:ascii="DecimaWE Rg" w:hAnsi="DecimaWE Rg" w:cs="DecimaWE Rg"/>
          <w:bCs/>
        </w:rPr>
        <w:t xml:space="preserve"> di un contributo a valere sul</w:t>
      </w:r>
      <w:r w:rsidRPr="00054430">
        <w:t xml:space="preserve"> </w:t>
      </w:r>
      <w:r w:rsidRPr="00054430">
        <w:rPr>
          <w:rFonts w:ascii="DecimaWE Rg" w:hAnsi="DecimaWE Rg" w:cs="DecimaWE Rg"/>
          <w:bCs/>
        </w:rPr>
        <w:t>del Reg. (UE) n. 508/2014</w:t>
      </w:r>
      <w:r>
        <w:rPr>
          <w:rFonts w:ascii="DecimaWE Rg" w:hAnsi="DecimaWE Rg" w:cs="DecimaWE Rg"/>
          <w:bCs/>
        </w:rPr>
        <w:t>,</w:t>
      </w:r>
      <w:r w:rsidR="002C3999" w:rsidRPr="00054430">
        <w:rPr>
          <w:rFonts w:ascii="DecimaWE Rg" w:hAnsi="DecimaWE Rg" w:cs="DecimaWE Rg"/>
          <w:bCs/>
        </w:rPr>
        <w:t xml:space="preserve"> misura </w:t>
      </w:r>
      <w:r w:rsidR="00B1643A" w:rsidRPr="00B1643A">
        <w:rPr>
          <w:rFonts w:ascii="DecimaWE Rg" w:hAnsi="DecimaWE Rg" w:cs="DecimaWE Rg"/>
          <w:bCs/>
        </w:rPr>
        <w:t xml:space="preserve">5.68, </w:t>
      </w:r>
      <w:proofErr w:type="spellStart"/>
      <w:r w:rsidR="00B1643A" w:rsidRPr="00B1643A">
        <w:rPr>
          <w:rFonts w:ascii="DecimaWE Rg" w:hAnsi="DecimaWE Rg" w:cs="DecimaWE Rg"/>
          <w:bCs/>
        </w:rPr>
        <w:t>lett</w:t>
      </w:r>
      <w:proofErr w:type="spellEnd"/>
      <w:r w:rsidR="00B1643A" w:rsidRPr="00B1643A">
        <w:rPr>
          <w:rFonts w:ascii="DecimaWE Rg" w:hAnsi="DecimaWE Rg" w:cs="DecimaWE Rg"/>
          <w:bCs/>
        </w:rPr>
        <w:t xml:space="preserve">. b), c), d), e), g) </w:t>
      </w:r>
      <w:r>
        <w:rPr>
          <w:rFonts w:ascii="DecimaWE Rg" w:hAnsi="DecimaWE Rg" w:cs="Arial"/>
        </w:rPr>
        <w:t xml:space="preserve">presentata dal soggetto capofila _______________________________________________________ </w:t>
      </w:r>
      <w:r w:rsidR="002C3999" w:rsidRPr="00054430">
        <w:rPr>
          <w:rFonts w:ascii="DecimaWE Rg" w:hAnsi="DecimaWE Rg" w:cs="DecimaWE Rg"/>
          <w:bCs/>
        </w:rPr>
        <w:t>pe</w:t>
      </w:r>
      <w:r>
        <w:rPr>
          <w:rFonts w:ascii="DecimaWE Rg" w:hAnsi="DecimaWE Rg" w:cs="DecimaWE Rg"/>
          <w:bCs/>
        </w:rPr>
        <w:t xml:space="preserve">r la realizzazione del progetto </w:t>
      </w:r>
      <w:r w:rsidR="0088011A">
        <w:rPr>
          <w:rFonts w:ascii="DecimaWE Rg" w:hAnsi="DecimaWE Rg" w:cs="DecimaWE Rg"/>
          <w:bCs/>
        </w:rPr>
        <w:t>__________________________________________</w:t>
      </w:r>
      <w:r>
        <w:rPr>
          <w:rFonts w:ascii="DecimaWE Rg" w:hAnsi="DecimaWE Rg" w:cs="DecimaWE Rg"/>
          <w:bCs/>
        </w:rPr>
        <w:t>_______________________________ ___________________________________________________________________</w:t>
      </w:r>
      <w:r>
        <w:rPr>
          <w:rFonts w:ascii="DecimaWE Rg" w:hAnsi="DecimaWE Rg" w:cs="Arial"/>
        </w:rPr>
        <w:t>, a cui si partecipa in forma associata</w:t>
      </w:r>
      <w:r w:rsidR="009123C1" w:rsidRPr="003201F3">
        <w:rPr>
          <w:rFonts w:ascii="DecimaWE Rg" w:hAnsi="DecimaWE Rg" w:cs="Arial"/>
        </w:rPr>
        <w:t xml:space="preserve">, </w:t>
      </w:r>
      <w:r w:rsidR="009123C1" w:rsidRPr="00663DB2">
        <w:rPr>
          <w:rFonts w:ascii="DecimaWE Rg" w:hAnsi="DecimaWE Rg" w:cs="Arial"/>
        </w:rPr>
        <w:lastRenderedPageBreak/>
        <w:t xml:space="preserve">consapevole della </w:t>
      </w:r>
      <w:r w:rsidR="009123C1" w:rsidRPr="00663DB2">
        <w:rPr>
          <w:rFonts w:ascii="DecimaWE Rg" w:hAnsi="DecimaWE Rg" w:cs="Arial"/>
          <w:b/>
        </w:rPr>
        <w:t>responsabilità penale</w:t>
      </w:r>
      <w:r w:rsidR="009123C1" w:rsidRPr="00663DB2">
        <w:rPr>
          <w:rFonts w:ascii="DecimaWE Rg" w:hAnsi="DecimaWE Rg" w:cs="Arial"/>
        </w:rPr>
        <w:t xml:space="preserve"> cui può andare incontro in caso di dichiarazione non veritiere, di formazione o uso di atti </w:t>
      </w:r>
      <w:r w:rsidR="009123C1">
        <w:rPr>
          <w:rFonts w:ascii="DecimaWE Rg" w:hAnsi="DecimaWE Rg" w:cs="Arial"/>
        </w:rPr>
        <w:t>falsi</w:t>
      </w:r>
      <w:r w:rsidR="009123C1" w:rsidRPr="00663DB2">
        <w:rPr>
          <w:rFonts w:ascii="DecimaWE Rg" w:hAnsi="DecimaWE Rg" w:cs="Arial"/>
        </w:rPr>
        <w:t xml:space="preserve">, </w:t>
      </w:r>
      <w:r w:rsidR="001922DE">
        <w:rPr>
          <w:rFonts w:ascii="DecimaWE Rg" w:hAnsi="DecimaWE Rg" w:cs="Arial"/>
        </w:rPr>
        <w:t>ai sensi del</w:t>
      </w:r>
      <w:r w:rsidR="009123C1" w:rsidRPr="00663DB2">
        <w:rPr>
          <w:rFonts w:ascii="DecimaWE Rg" w:hAnsi="DecimaWE Rg" w:cs="Arial"/>
          <w:b/>
        </w:rPr>
        <w:t xml:space="preserve"> D.P.R. n. 445 del 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3A6609CB" w14:textId="77777777" w:rsidR="0088011A" w:rsidRPr="00AD2392" w:rsidRDefault="0088011A" w:rsidP="0088011A">
      <w:pPr>
        <w:numPr>
          <w:ilvl w:val="0"/>
          <w:numId w:val="1"/>
        </w:numPr>
        <w:spacing w:before="120" w:after="120"/>
        <w:ind w:left="357" w:hanging="357"/>
        <w:jc w:val="both"/>
        <w:rPr>
          <w:rFonts w:ascii="DecimaWE Rg" w:hAnsi="DecimaWE Rg" w:cs="DecimaWE Rg"/>
        </w:rPr>
      </w:pPr>
      <w:r w:rsidRPr="00AD2392">
        <w:rPr>
          <w:rFonts w:ascii="DecimaWE Rg" w:hAnsi="DecimaWE Rg" w:cs="DecimaWE Rg"/>
        </w:rPr>
        <w:t>di essere Organizzazione di produttori riconosciuta, ai sensi del seguente atto di riconoscimento: _____________________________________________________________________________;</w:t>
      </w:r>
    </w:p>
    <w:p w14:paraId="5E3237F8" w14:textId="77777777" w:rsidR="00935FEE" w:rsidRPr="00CB5C8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w:t>
      </w:r>
      <w:r w:rsidRPr="00CB5C8E">
        <w:rPr>
          <w:rFonts w:ascii="DecimaWE Rg" w:hAnsi="DecimaWE Rg" w:cs="DecimaWE Rg"/>
        </w:rPr>
        <w:t>giuridica e di agire fatta salva l'autorizzazione degli organi di vigilanza e/o tutori;</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C66C79">
        <w:rPr>
          <w:rFonts w:ascii="DecimaWE Rg" w:hAnsi="DecimaWE Rg" w:cs="DecimaWE Rg"/>
        </w:rPr>
      </w:r>
      <w:r w:rsidR="00C66C79">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C66C79">
        <w:rPr>
          <w:rFonts w:ascii="DecimaWE Rg" w:hAnsi="DecimaWE Rg" w:cs="DecimaWE Rg"/>
        </w:rPr>
      </w:r>
      <w:r w:rsidR="00C66C79">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66601D70" w:rsidR="002D7EE0" w:rsidRDefault="003A157C"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di</w:t>
      </w:r>
      <w:r w:rsidR="00445215">
        <w:rPr>
          <w:rFonts w:ascii="DecimaWE Rg" w:hAnsi="DecimaWE Rg" w:cs="Arial"/>
        </w:rPr>
        <w:t xml:space="preserve"> </w:t>
      </w:r>
      <w:r w:rsidR="002D7EE0" w:rsidRPr="00B835CD" w:rsidDel="00FA43BE">
        <w:rPr>
          <w:rFonts w:ascii="DecimaWE Rg" w:hAnsi="DecimaWE Rg" w:cs="Arial"/>
        </w:rPr>
        <w:t xml:space="preserve">non </w:t>
      </w:r>
      <w:r w:rsidR="00445215">
        <w:rPr>
          <w:rFonts w:ascii="DecimaWE Rg" w:hAnsi="DecimaWE Rg" w:cs="Arial"/>
        </w:rPr>
        <w:t xml:space="preserve">si </w:t>
      </w:r>
      <w:r w:rsidR="002D7EE0" w:rsidRPr="00B835CD" w:rsidDel="00FA43BE">
        <w:rPr>
          <w:rFonts w:ascii="DecimaWE Rg" w:hAnsi="DecimaWE Rg" w:cs="Arial"/>
        </w:rPr>
        <w:t>trova</w:t>
      </w:r>
      <w:r>
        <w:rPr>
          <w:rFonts w:ascii="DecimaWE Rg" w:hAnsi="DecimaWE Rg" w:cs="Arial"/>
        </w:rPr>
        <w:t>rsi</w:t>
      </w:r>
      <w:r w:rsidR="002D7EE0" w:rsidRPr="00B835CD" w:rsidDel="00FA43BE">
        <w:rPr>
          <w:rFonts w:ascii="DecimaWE Rg" w:hAnsi="DecimaWE Rg" w:cs="Arial"/>
        </w:rPr>
        <w:t xml:space="preserve">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ayout w:type="fixed"/>
        <w:tblLook w:val="01E0" w:firstRow="1" w:lastRow="1" w:firstColumn="1" w:lastColumn="1" w:noHBand="0" w:noVBand="0"/>
      </w:tblPr>
      <w:tblGrid>
        <w:gridCol w:w="392"/>
        <w:gridCol w:w="1436"/>
        <w:gridCol w:w="4392"/>
        <w:gridCol w:w="1855"/>
        <w:gridCol w:w="720"/>
      </w:tblGrid>
      <w:tr w:rsidR="005D60D7" w:rsidRPr="006E35BB" w14:paraId="48B94D43" w14:textId="77777777" w:rsidTr="00772566">
        <w:trPr>
          <w:trHeight w:val="380"/>
          <w:jc w:val="center"/>
        </w:trPr>
        <w:tc>
          <w:tcPr>
            <w:tcW w:w="392" w:type="dxa"/>
            <w:vAlign w:val="center"/>
          </w:tcPr>
          <w:p w14:paraId="4A60D0C7"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7F36304A"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5CE78A75"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2 milioni di Euro (</w:t>
            </w:r>
            <w:r w:rsidRPr="008D11E9">
              <w:rPr>
                <w:rFonts w:ascii="DecimaWE Rg" w:hAnsi="DecimaWE Rg" w:cs="DecimaWE Rg"/>
                <w:sz w:val="16"/>
                <w:szCs w:val="16"/>
              </w:rPr>
              <w:t xml:space="preserve">per imprese </w:t>
            </w:r>
            <w:r w:rsidRPr="008D11E9">
              <w:rPr>
                <w:rFonts w:ascii="DecimaWE Rg" w:hAnsi="DecimaWE Rg" w:cs="DecimaWE Rg"/>
                <w:b/>
                <w:sz w:val="16"/>
                <w:szCs w:val="16"/>
              </w:rPr>
              <w:t>associate</w:t>
            </w:r>
            <w:r w:rsidRPr="008D11E9">
              <w:rPr>
                <w:rFonts w:ascii="DecimaWE Rg" w:hAnsi="DecimaWE Rg" w:cs="DecimaWE Rg"/>
                <w:sz w:val="16"/>
                <w:szCs w:val="16"/>
              </w:rPr>
              <w:t xml:space="preserve"> o </w:t>
            </w:r>
            <w:r w:rsidRPr="008D11E9">
              <w:rPr>
                <w:rFonts w:ascii="DecimaWE Rg" w:hAnsi="DecimaWE Rg" w:cs="DecimaWE Rg"/>
                <w:b/>
                <w:sz w:val="16"/>
                <w:szCs w:val="16"/>
              </w:rPr>
              <w:t>collegate</w:t>
            </w:r>
            <w:r w:rsidRPr="008D11E9">
              <w:rPr>
                <w:rFonts w:ascii="DecimaWE Rg" w:hAnsi="DecimaWE Rg" w:cs="DecimaWE Rg"/>
                <w:sz w:val="16"/>
                <w:szCs w:val="16"/>
              </w:rPr>
              <w:t xml:space="preserve"> vedasi modalità di calcolo di cui </w:t>
            </w:r>
            <w:r>
              <w:rPr>
                <w:rFonts w:ascii="DecimaWE Rg" w:hAnsi="DecimaWE Rg" w:cs="DecimaWE Rg"/>
                <w:sz w:val="16"/>
                <w:szCs w:val="16"/>
              </w:rPr>
              <w:t xml:space="preserve">alla </w:t>
            </w:r>
            <w:r w:rsidRPr="008D11E9">
              <w:rPr>
                <w:rFonts w:ascii="DecimaWE Rg" w:hAnsi="DecimaWE Rg" w:cs="DecimaWE Rg"/>
                <w:sz w:val="16"/>
                <w:szCs w:val="16"/>
              </w:rPr>
              <w:t>raccomandazione 2003/361/CE)</w:t>
            </w:r>
          </w:p>
        </w:tc>
        <w:tc>
          <w:tcPr>
            <w:tcW w:w="1855" w:type="dxa"/>
            <w:tcBorders>
              <w:top w:val="single" w:sz="4" w:space="0" w:color="C0C0C0"/>
              <w:left w:val="single" w:sz="4" w:space="0" w:color="C0C0C0"/>
              <w:bottom w:val="single" w:sz="4" w:space="0" w:color="C0C0C0"/>
            </w:tcBorders>
            <w:vAlign w:val="center"/>
          </w:tcPr>
          <w:p w14:paraId="39B782D8"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p>
          <w:p w14:paraId="5023783A"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7BC82827"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5D60D7" w:rsidRPr="006E35BB" w14:paraId="0FEA3A24" w14:textId="77777777" w:rsidTr="00772566">
        <w:trPr>
          <w:trHeight w:val="380"/>
          <w:jc w:val="center"/>
        </w:trPr>
        <w:tc>
          <w:tcPr>
            <w:tcW w:w="392" w:type="dxa"/>
            <w:vAlign w:val="center"/>
          </w:tcPr>
          <w:p w14:paraId="07D5EF2A"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3544E058"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2E5F71C0"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10 milioni di Euro (</w:t>
            </w:r>
            <w:r w:rsidRPr="008D11E9">
              <w:rPr>
                <w:rFonts w:ascii="DecimaWE Rg" w:hAnsi="DecimaWE Rg" w:cs="DecimaWE Rg"/>
                <w:sz w:val="16"/>
                <w:szCs w:val="16"/>
              </w:rPr>
              <w:t xml:space="preserve">per imprese </w:t>
            </w:r>
            <w:r w:rsidRPr="008D11E9">
              <w:rPr>
                <w:rFonts w:ascii="DecimaWE Rg" w:hAnsi="DecimaWE Rg" w:cs="DecimaWE Rg"/>
                <w:b/>
                <w:sz w:val="16"/>
                <w:szCs w:val="16"/>
              </w:rPr>
              <w:t>associate</w:t>
            </w:r>
            <w:r w:rsidRPr="008D11E9">
              <w:rPr>
                <w:rFonts w:ascii="DecimaWE Rg" w:hAnsi="DecimaWE Rg" w:cs="DecimaWE Rg"/>
                <w:sz w:val="16"/>
                <w:szCs w:val="16"/>
              </w:rPr>
              <w:t xml:space="preserve"> o </w:t>
            </w:r>
            <w:r w:rsidRPr="008D11E9">
              <w:rPr>
                <w:rFonts w:ascii="DecimaWE Rg" w:hAnsi="DecimaWE Rg" w:cs="DecimaWE Rg"/>
                <w:b/>
                <w:sz w:val="16"/>
                <w:szCs w:val="16"/>
              </w:rPr>
              <w:t>collegate</w:t>
            </w:r>
            <w:r w:rsidRPr="008D11E9">
              <w:rPr>
                <w:rFonts w:ascii="DecimaWE Rg" w:hAnsi="DecimaWE Rg" w:cs="DecimaWE Rg"/>
                <w:sz w:val="16"/>
                <w:szCs w:val="16"/>
              </w:rPr>
              <w:t xml:space="preserve"> vedasi modalità di calcolo di cui </w:t>
            </w:r>
            <w:r>
              <w:rPr>
                <w:rFonts w:ascii="DecimaWE Rg" w:hAnsi="DecimaWE Rg" w:cs="DecimaWE Rg"/>
                <w:sz w:val="16"/>
                <w:szCs w:val="16"/>
              </w:rPr>
              <w:t xml:space="preserve">alla </w:t>
            </w:r>
            <w:r w:rsidRPr="008D11E9">
              <w:rPr>
                <w:rFonts w:ascii="DecimaWE Rg" w:hAnsi="DecimaWE Rg" w:cs="DecimaWE Rg"/>
                <w:sz w:val="16"/>
                <w:szCs w:val="16"/>
              </w:rPr>
              <w:t>raccomandazione 2003/361/CE)</w:t>
            </w:r>
          </w:p>
        </w:tc>
        <w:tc>
          <w:tcPr>
            <w:tcW w:w="1855" w:type="dxa"/>
            <w:tcBorders>
              <w:top w:val="single" w:sz="4" w:space="0" w:color="C0C0C0"/>
              <w:left w:val="single" w:sz="4" w:space="0" w:color="C0C0C0"/>
              <w:bottom w:val="single" w:sz="4" w:space="0" w:color="C0C0C0"/>
            </w:tcBorders>
            <w:vAlign w:val="center"/>
          </w:tcPr>
          <w:p w14:paraId="1E9BAE2A"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55754BCF"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5D60D7" w:rsidRPr="006E35BB" w14:paraId="50AF9125" w14:textId="77777777" w:rsidTr="00772566">
        <w:trPr>
          <w:trHeight w:val="380"/>
          <w:jc w:val="center"/>
        </w:trPr>
        <w:tc>
          <w:tcPr>
            <w:tcW w:w="392" w:type="dxa"/>
            <w:vAlign w:val="center"/>
          </w:tcPr>
          <w:p w14:paraId="27C526CF"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16EA1B9"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C3F1DD6"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 xml:space="preserve">Con fatturato annuo non superiore a 50 milioni di euro o totale di bilancio annuo non superiore a 43 milioni di euro </w:t>
            </w:r>
            <w:r w:rsidRPr="008D11E9">
              <w:rPr>
                <w:rFonts w:ascii="DecimaWE Rg" w:hAnsi="DecimaWE Rg" w:cs="DecimaWE Rg"/>
                <w:sz w:val="16"/>
                <w:szCs w:val="16"/>
              </w:rPr>
              <w:t xml:space="preserve">(per imprese </w:t>
            </w:r>
            <w:r w:rsidRPr="008D11E9">
              <w:rPr>
                <w:rFonts w:ascii="DecimaWE Rg" w:hAnsi="DecimaWE Rg" w:cs="DecimaWE Rg"/>
                <w:b/>
                <w:sz w:val="16"/>
                <w:szCs w:val="16"/>
              </w:rPr>
              <w:t>associate</w:t>
            </w:r>
            <w:r w:rsidRPr="008D11E9">
              <w:rPr>
                <w:rFonts w:ascii="DecimaWE Rg" w:hAnsi="DecimaWE Rg" w:cs="DecimaWE Rg"/>
                <w:sz w:val="16"/>
                <w:szCs w:val="16"/>
              </w:rPr>
              <w:t xml:space="preserve"> o </w:t>
            </w:r>
            <w:r w:rsidRPr="008D11E9">
              <w:rPr>
                <w:rFonts w:ascii="DecimaWE Rg" w:hAnsi="DecimaWE Rg" w:cs="DecimaWE Rg"/>
                <w:b/>
                <w:sz w:val="16"/>
                <w:szCs w:val="16"/>
              </w:rPr>
              <w:t>collegate</w:t>
            </w:r>
            <w:r w:rsidRPr="008D11E9">
              <w:rPr>
                <w:rFonts w:ascii="DecimaWE Rg" w:hAnsi="DecimaWE Rg" w:cs="DecimaWE Rg"/>
                <w:sz w:val="16"/>
                <w:szCs w:val="16"/>
              </w:rPr>
              <w:t xml:space="preserve"> vedasi modalità di calcolo di cui </w:t>
            </w:r>
            <w:r>
              <w:rPr>
                <w:rFonts w:ascii="DecimaWE Rg" w:hAnsi="DecimaWE Rg" w:cs="DecimaWE Rg"/>
                <w:sz w:val="16"/>
                <w:szCs w:val="16"/>
              </w:rPr>
              <w:t xml:space="preserve">alla </w:t>
            </w:r>
            <w:r w:rsidRPr="008D11E9">
              <w:rPr>
                <w:rFonts w:ascii="DecimaWE Rg" w:hAnsi="DecimaWE Rg" w:cs="DecimaWE Rg"/>
                <w:sz w:val="16"/>
                <w:szCs w:val="16"/>
              </w:rPr>
              <w:t>raccomandazione 2003/361/CE)</w:t>
            </w:r>
          </w:p>
        </w:tc>
        <w:tc>
          <w:tcPr>
            <w:tcW w:w="1855" w:type="dxa"/>
            <w:tcBorders>
              <w:top w:val="single" w:sz="4" w:space="0" w:color="C0C0C0"/>
              <w:left w:val="single" w:sz="4" w:space="0" w:color="C0C0C0"/>
              <w:bottom w:val="single" w:sz="4" w:space="0" w:color="C0C0C0"/>
            </w:tcBorders>
            <w:vAlign w:val="center"/>
          </w:tcPr>
          <w:p w14:paraId="3C68563C"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09C11E2E"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5D60D7" w:rsidRPr="006E35BB" w14:paraId="082B75FE" w14:textId="77777777" w:rsidTr="00772566">
        <w:trPr>
          <w:trHeight w:val="380"/>
          <w:jc w:val="center"/>
        </w:trPr>
        <w:tc>
          <w:tcPr>
            <w:tcW w:w="392" w:type="dxa"/>
            <w:vAlign w:val="center"/>
          </w:tcPr>
          <w:p w14:paraId="7A600863"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8403" w:type="dxa"/>
            <w:gridSpan w:val="4"/>
            <w:tcBorders>
              <w:top w:val="single" w:sz="4" w:space="0" w:color="C0C0C0"/>
              <w:bottom w:val="single" w:sz="4" w:space="0" w:color="C0C0C0"/>
            </w:tcBorders>
            <w:vAlign w:val="center"/>
          </w:tcPr>
          <w:p w14:paraId="512EB6E6"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2FCB4B69" w14:textId="30F04FA0"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6F90E31C" w14:textId="5EA4F44A"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14:paraId="121A1005" w14:textId="7A134D30"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i legali rappresentanti dell’impresa non svolgono analoghi incarichi in altre imprese che risultano nella situazione rappresentata al precedente punto;</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che il fatturato annuo degli ultimi due</w:t>
      </w:r>
      <w:r w:rsidRPr="0087335C">
        <w:rPr>
          <w:rFonts w:ascii="DecimaWE Rg" w:hAnsi="DecimaWE Rg" w:cs="DecimaWE Rg"/>
        </w:rPr>
        <w:t xml:space="preserv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1F9DE8FC" w14:textId="77777777" w:rsidR="003F61A2" w:rsidRPr="000C0217" w:rsidRDefault="003F61A2" w:rsidP="003F61A2">
      <w:pPr>
        <w:numPr>
          <w:ilvl w:val="0"/>
          <w:numId w:val="1"/>
        </w:numPr>
        <w:spacing w:before="120" w:after="120"/>
        <w:jc w:val="both"/>
        <w:rPr>
          <w:rFonts w:ascii="DecimaWE Rg" w:hAnsi="DecimaWE Rg" w:cs="DecimaWE Rg"/>
        </w:rPr>
      </w:pPr>
      <w:r w:rsidRPr="000C0217">
        <w:rPr>
          <w:rFonts w:ascii="DecimaWE Rg" w:hAnsi="DecimaWE Rg" w:cs="DecimaWE Rg"/>
        </w:rPr>
        <w:t>che per le spese di progetto non sono state richieste né ottenute altre forme di agevolazioni anche di carattere fiscale o finanziamenti di qualsiasi tipo o natura;</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lastRenderedPageBreak/>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77777777" w:rsidR="007043B4" w:rsidRPr="00111D43" w:rsidRDefault="007043B4" w:rsidP="00A56AC3">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w:t>
      </w:r>
      <w:r w:rsidRPr="001E550F">
        <w:rPr>
          <w:rFonts w:ascii="DecimaWE Rg" w:hAnsi="DecimaWE Rg" w:cs="DecimaWE Rg"/>
          <w:sz w:val="28"/>
          <w:szCs w:val="28"/>
        </w:rPr>
        <w:t xml:space="preserve"> (1)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C66C79">
        <w:rPr>
          <w:rFonts w:ascii="DecimaWE Rg" w:hAnsi="DecimaWE Rg" w:cs="DecimaWE Rg"/>
        </w:rPr>
      </w:r>
      <w:r w:rsidR="00C66C79">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DD6598">
        <w:rPr>
          <w:rFonts w:ascii="DecimaWE Rg" w:hAnsi="DecimaWE Rg" w:cs="DecimaWE Rg"/>
        </w:rPr>
        <w:t xml:space="preserve">ai sensi dell’art. 137, paragrafo 1, del Reg. (UE, </w:t>
      </w:r>
      <w:proofErr w:type="spellStart"/>
      <w:r w:rsidRPr="00DD6598">
        <w:rPr>
          <w:rFonts w:ascii="DecimaWE Rg" w:hAnsi="DecimaWE Rg" w:cs="DecimaWE Rg"/>
        </w:rPr>
        <w:t>Euratom</w:t>
      </w:r>
      <w:proofErr w:type="spellEnd"/>
      <w:r w:rsidRPr="00DD6598">
        <w:rPr>
          <w:rFonts w:ascii="DecimaWE Rg" w:hAnsi="DecimaWE Rg" w:cs="DecimaWE Rg"/>
        </w:rPr>
        <w:t>)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C66C79">
        <w:rPr>
          <w:rFonts w:ascii="DecimaWE Rg" w:hAnsi="DecimaWE Rg" w:cs="DecimaWE Rg"/>
        </w:rPr>
      </w:r>
      <w:r w:rsidR="00C66C79">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4C86976A" w14:textId="315F5CF9" w:rsidR="003A157C" w:rsidRPr="003A157C" w:rsidRDefault="004F6829" w:rsidP="003A157C">
      <w:pPr>
        <w:pStyle w:val="Paragrafoelenco"/>
        <w:numPr>
          <w:ilvl w:val="0"/>
          <w:numId w:val="1"/>
        </w:numPr>
        <w:spacing w:before="120" w:after="120"/>
        <w:jc w:val="both"/>
        <w:rPr>
          <w:rFonts w:ascii="DecimaWE Rg" w:hAnsi="DecimaWE Rg" w:cs="Arial"/>
        </w:rPr>
      </w:pPr>
      <w:r w:rsidRPr="000C3B6D" w:rsidDel="00FA43BE">
        <w:rPr>
          <w:rFonts w:ascii="DecimaWE Rg" w:hAnsi="DecimaWE Rg" w:cs="Arial"/>
        </w:rPr>
        <w:t>che le</w:t>
      </w:r>
      <w:r w:rsidRPr="000C3B6D">
        <w:rPr>
          <w:rFonts w:ascii="DecimaWE Rg" w:hAnsi="DecimaWE Rg" w:cs="Arial"/>
        </w:rPr>
        <w:t xml:space="preserve"> </w:t>
      </w:r>
      <w:r w:rsidRPr="000C3B6D" w:rsidDel="00FA43BE">
        <w:rPr>
          <w:rFonts w:ascii="DecimaWE Rg" w:hAnsi="DecimaWE Rg" w:cs="Arial"/>
        </w:rPr>
        <w:t xml:space="preserve">coordinate </w:t>
      </w:r>
      <w:r>
        <w:rPr>
          <w:rFonts w:ascii="DecimaWE Rg" w:hAnsi="DecimaWE Rg" w:cs="Arial"/>
        </w:rPr>
        <w:t>de</w:t>
      </w:r>
      <w:r w:rsidRPr="000C3B6D">
        <w:rPr>
          <w:rFonts w:ascii="DecimaWE Rg" w:hAnsi="DecimaWE Rg" w:cs="Arial"/>
        </w:rPr>
        <w:t xml:space="preserve">l conto corrente </w:t>
      </w:r>
      <w:r w:rsidR="009B36DD">
        <w:rPr>
          <w:rFonts w:ascii="DecimaWE Rg" w:hAnsi="DecimaWE Rg" w:cs="Arial"/>
        </w:rPr>
        <w:t xml:space="preserve">intestato </w:t>
      </w:r>
      <w:r w:rsidR="003A157C" w:rsidRPr="003A157C">
        <w:rPr>
          <w:rFonts w:ascii="DecimaWE Rg" w:hAnsi="DecimaWE Rg" w:cs="Arial"/>
        </w:rPr>
        <w:t>alla richiedente O.P., su cui liquidare il contributo dovuto sono le seguenti:</w:t>
      </w:r>
    </w:p>
    <w:p w14:paraId="3026F034" w14:textId="70BC29C3" w:rsidR="004F6829" w:rsidRPr="000C3B6D" w:rsidDel="00FA43BE" w:rsidRDefault="004F6829" w:rsidP="003A157C">
      <w:pPr>
        <w:pStyle w:val="Paragrafoelenco"/>
        <w:spacing w:before="120" w:after="120"/>
        <w:ind w:left="360"/>
        <w:jc w:val="both"/>
        <w:rPr>
          <w:rFonts w:ascii="DecimaWE Rg" w:hAnsi="DecimaWE Rg" w:cs="Arial"/>
        </w:rPr>
      </w:pPr>
    </w:p>
    <w:p w14:paraId="60D9C358" w14:textId="77777777" w:rsidR="004F6829" w:rsidRPr="00B835CD" w:rsidDel="00FA43BE" w:rsidRDefault="004F6829" w:rsidP="004F6829">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4F6829" w:rsidRPr="00B835CD" w:rsidDel="00FA43BE" w14:paraId="7916FAF8" w14:textId="77777777" w:rsidTr="00772566">
        <w:trPr>
          <w:trHeight w:val="506"/>
          <w:jc w:val="center"/>
        </w:trPr>
        <w:tc>
          <w:tcPr>
            <w:tcW w:w="318" w:type="pct"/>
            <w:gridSpan w:val="2"/>
            <w:tcBorders>
              <w:top w:val="nil"/>
              <w:left w:val="nil"/>
              <w:right w:val="nil"/>
            </w:tcBorders>
            <w:vAlign w:val="center"/>
          </w:tcPr>
          <w:p w14:paraId="1D27F99D"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Cod.</w:t>
            </w:r>
          </w:p>
          <w:p w14:paraId="219FAC11"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598CC37" w14:textId="77777777" w:rsidR="004F6829" w:rsidRPr="00B835CD" w:rsidDel="00FA43BE" w:rsidRDefault="004F6829" w:rsidP="00772566">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51DF0AC2"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Cod.</w:t>
            </w:r>
          </w:p>
          <w:p w14:paraId="74AC97D4"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Contr.</w:t>
            </w:r>
          </w:p>
          <w:p w14:paraId="1C499AAD" w14:textId="77777777" w:rsidR="004F6829" w:rsidRPr="00B835CD" w:rsidDel="00FA43BE" w:rsidRDefault="004F6829" w:rsidP="00772566">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4EBF9FA9" w14:textId="77777777" w:rsidR="004F6829" w:rsidRPr="00B835CD" w:rsidDel="00FA43BE" w:rsidRDefault="004F6829" w:rsidP="00772566">
            <w:pPr>
              <w:spacing w:after="0" w:line="240" w:lineRule="auto"/>
              <w:jc w:val="center"/>
              <w:rPr>
                <w:rFonts w:ascii="DecimaWE Rg" w:hAnsi="DecimaWE Rg" w:cs="Arial"/>
                <w:sz w:val="14"/>
              </w:rPr>
            </w:pPr>
          </w:p>
        </w:tc>
        <w:tc>
          <w:tcPr>
            <w:tcW w:w="303" w:type="pct"/>
            <w:tcBorders>
              <w:top w:val="nil"/>
              <w:left w:val="nil"/>
              <w:right w:val="nil"/>
            </w:tcBorders>
            <w:vAlign w:val="center"/>
          </w:tcPr>
          <w:p w14:paraId="285CF4CE"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Cod.</w:t>
            </w:r>
          </w:p>
          <w:p w14:paraId="11285795"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Contr.</w:t>
            </w:r>
          </w:p>
          <w:p w14:paraId="53B4B350"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564FE924" w14:textId="77777777" w:rsidR="004F6829" w:rsidRPr="00B835CD" w:rsidDel="00FA43BE" w:rsidRDefault="004F6829" w:rsidP="00772566">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52AFE531"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40F85DD8" w14:textId="77777777" w:rsidR="004F6829" w:rsidRPr="00B835CD" w:rsidDel="00FA43BE" w:rsidRDefault="004F6829" w:rsidP="00772566">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3350788"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746E9AA2" w14:textId="77777777" w:rsidR="004F6829" w:rsidRPr="00B835CD" w:rsidDel="00FA43BE" w:rsidRDefault="004F6829" w:rsidP="00772566">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22F3BD3"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4F6829" w:rsidRPr="00B835CD" w:rsidDel="00FA43BE" w14:paraId="5ED1AE13" w14:textId="77777777" w:rsidTr="00772566">
        <w:trPr>
          <w:jc w:val="center"/>
        </w:trPr>
        <w:tc>
          <w:tcPr>
            <w:tcW w:w="159" w:type="pct"/>
            <w:vAlign w:val="center"/>
          </w:tcPr>
          <w:p w14:paraId="01A6FCD3"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E3DE086"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26DB6586"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49D299D3"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2F640CD1"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2C4C8D9C" w14:textId="77777777" w:rsidR="004F6829" w:rsidRPr="00B835CD" w:rsidDel="00FA43BE" w:rsidRDefault="004F6829" w:rsidP="00772566">
            <w:pPr>
              <w:spacing w:after="360" w:line="240" w:lineRule="auto"/>
              <w:jc w:val="center"/>
              <w:rPr>
                <w:rFonts w:ascii="DecimaWE Rg" w:hAnsi="DecimaWE Rg" w:cs="Arial"/>
                <w:sz w:val="14"/>
              </w:rPr>
            </w:pPr>
          </w:p>
        </w:tc>
        <w:tc>
          <w:tcPr>
            <w:tcW w:w="303" w:type="pct"/>
            <w:vAlign w:val="center"/>
          </w:tcPr>
          <w:p w14:paraId="0FE171CA"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56D71D3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589723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54F0A07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2E49F829"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66C2166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3EE37C7D"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382B8AE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97D4C75"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56EB24B5"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5EC0581"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A9BDFD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68E7C506"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1E7E69A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2A8B3F0"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4D0BF0D4"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5E22CB8E"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7E7FEEB"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A2B72A3"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0FD99509"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29372821"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440B33C2"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CCD7509"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10FD91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08096809" w14:textId="77777777" w:rsidR="004F6829" w:rsidRPr="00B835CD" w:rsidDel="00FA43BE" w:rsidRDefault="004F6829" w:rsidP="00772566">
            <w:pPr>
              <w:spacing w:after="360" w:line="240" w:lineRule="auto"/>
              <w:jc w:val="center"/>
              <w:rPr>
                <w:rFonts w:ascii="DecimaWE Rg" w:hAnsi="DecimaWE Rg" w:cs="Arial"/>
                <w:sz w:val="14"/>
              </w:rPr>
            </w:pPr>
          </w:p>
        </w:tc>
        <w:tc>
          <w:tcPr>
            <w:tcW w:w="160" w:type="pct"/>
            <w:vAlign w:val="center"/>
          </w:tcPr>
          <w:p w14:paraId="6BE8D8CA" w14:textId="77777777" w:rsidR="004F6829" w:rsidRPr="00B835CD" w:rsidDel="00FA43BE" w:rsidRDefault="004F6829" w:rsidP="00772566">
            <w:pPr>
              <w:spacing w:after="360" w:line="240" w:lineRule="auto"/>
              <w:jc w:val="center"/>
              <w:rPr>
                <w:rFonts w:ascii="DecimaWE Rg" w:hAnsi="DecimaWE Rg" w:cs="Arial"/>
                <w:sz w:val="14"/>
              </w:rPr>
            </w:pPr>
          </w:p>
        </w:tc>
      </w:tr>
    </w:tbl>
    <w:p w14:paraId="2D0FEFF0" w14:textId="77777777" w:rsidR="004F6829" w:rsidRDefault="004F6829" w:rsidP="004F6829">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57748647" w14:textId="77777777" w:rsidR="004F6829" w:rsidRDefault="004F6829" w:rsidP="004F6829">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 ____________________________________________________________________________</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lastRenderedPageBreak/>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7CEBD693" w14:textId="77777777" w:rsidR="00403A8F" w:rsidRPr="00AA42ED" w:rsidRDefault="00403A8F" w:rsidP="00403A8F">
      <w:pPr>
        <w:pStyle w:val="Paragrafoelenco"/>
        <w:numPr>
          <w:ilvl w:val="0"/>
          <w:numId w:val="1"/>
        </w:numPr>
        <w:jc w:val="both"/>
        <w:rPr>
          <w:rFonts w:ascii="DecimaWE Rg" w:hAnsi="DecimaWE Rg" w:cs="DecimaWE Rg"/>
        </w:rPr>
      </w:pPr>
      <w:r w:rsidRPr="000002C8">
        <w:rPr>
          <w:rFonts w:ascii="DecimaWE Rg" w:hAnsi="DecimaWE Rg" w:cs="DecimaWE Rg"/>
        </w:rPr>
        <w:t xml:space="preserve">a rispettare, ai sensi dell’art. 10, paragrafo 2, del Regolamento (CE) n. 508/2014, le condizioni di cui al paragrafo 1, lettere da a) a d) dello stesso articolo per </w:t>
      </w:r>
      <w:r>
        <w:rPr>
          <w:rFonts w:ascii="DecimaWE Rg" w:hAnsi="DecimaWE Rg" w:cs="DecimaWE Rg"/>
        </w:rPr>
        <w:t xml:space="preserve">tutto il periodo di attuazione dell’intervento e per </w:t>
      </w:r>
      <w:r w:rsidRPr="000002C8">
        <w:rPr>
          <w:rFonts w:ascii="DecimaWE Rg" w:hAnsi="DecimaWE Rg" w:cs="DecimaWE Rg"/>
        </w:rPr>
        <w:t>un periodo di cinque anni dopo che è eseguito il pagamento finale del contributo</w:t>
      </w:r>
      <w:r>
        <w:rPr>
          <w:rFonts w:ascii="DecimaWE Rg" w:hAnsi="DecimaWE Rg" w:cs="DecimaWE Rg"/>
        </w:rPr>
        <w:t>, consapevole che il mancato rispetto delle suddette condizioni comporta la restituzione dell’aiuto nella misura prevista dalle rettifiche finanziarie di cui all’art. 99 del Reg.(UE) 508/2014</w:t>
      </w:r>
      <w:r w:rsidRPr="000002C8">
        <w:rPr>
          <w:rFonts w:ascii="DecimaWE Rg" w:hAnsi="DecimaWE Rg" w:cs="DecimaWE Rg"/>
        </w:rPr>
        <w:t>;</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2EC3EEE8"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lastRenderedPageBreak/>
        <w:t>comunicare tempestivamente qualun</w:t>
      </w:r>
      <w:r w:rsidR="00BF75A7">
        <w:rPr>
          <w:rFonts w:ascii="DecimaWE Rg" w:hAnsi="DecimaWE Rg" w:cs="DecimaWE Rg"/>
        </w:rPr>
        <w:t>que variazione dei propri dati</w:t>
      </w:r>
      <w:bookmarkStart w:id="1" w:name="_GoBack"/>
      <w:bookmarkEnd w:id="1"/>
      <w:r w:rsidRPr="00911330">
        <w:rPr>
          <w:rFonts w:ascii="DecimaWE Rg" w:hAnsi="DecimaWE Rg" w:cs="DecimaWE Rg"/>
        </w:rPr>
        <w:t xml:space="preserv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6D8E88F1"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3D868EA8" w:rsidR="007D1B9F" w:rsidRPr="00403A8F" w:rsidRDefault="007D1B9F" w:rsidP="00403A8F">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 xml:space="preserve">previsto dalle disposizioni </w:t>
      </w:r>
      <w:r w:rsidR="00403A8F">
        <w:rPr>
          <w:rFonts w:ascii="DecimaWE Rg" w:hAnsi="DecimaWE Rg" w:cs="DecimaWE Rg"/>
        </w:rPr>
        <w:t>e norme nazionali e comunitarie, nonché nei casi previsti dal bando di riferimento</w:t>
      </w:r>
      <w:r w:rsidR="00403A8F" w:rsidRPr="007D1B9F">
        <w:rPr>
          <w:rFonts w:ascii="DecimaWE Rg" w:hAnsi="DecimaWE Rg" w:cs="DecimaWE Rg"/>
        </w:rPr>
        <w:t>;</w:t>
      </w:r>
    </w:p>
    <w:p w14:paraId="7ACE640F" w14:textId="2BFECCB2" w:rsidR="007D1B9F" w:rsidRPr="00403A8F" w:rsidRDefault="00403A8F" w:rsidP="00403A8F">
      <w:pPr>
        <w:pStyle w:val="Paragrafoelenco"/>
        <w:numPr>
          <w:ilvl w:val="0"/>
          <w:numId w:val="1"/>
        </w:numPr>
        <w:rPr>
          <w:rFonts w:ascii="DecimaWE Rg" w:hAnsi="DecimaWE Rg" w:cs="DecimaWE Rg"/>
        </w:rPr>
      </w:pPr>
      <w:r w:rsidRPr="00403A8F">
        <w:rPr>
          <w:rFonts w:ascii="DecimaWE Rg" w:hAnsi="DecimaWE Rg" w:cs="DecimaWE Rg"/>
        </w:rPr>
        <w:t>a non richiedere altri finanziamenti o agevolazioni, anche di carattere fiscale, sulle spese di progetto, ovvero a comunicare, entro quindici giorni dalla comunicazione ufficiale, l’avvenuta concessione di aiuti di qualsiasi natura da parte di altro ente pubblico per la medesima iniziativa, ai fini dell’adozione dei conseguenti provvedimenti</w:t>
      </w:r>
      <w:r>
        <w:rPr>
          <w:rFonts w:ascii="DecimaWE Rg" w:hAnsi="DecimaWE Rg" w:cs="DecimaWE Rg"/>
        </w:rPr>
        <w:t xml:space="preserve"> dell’Amministrazione regionale</w:t>
      </w:r>
      <w:r w:rsidR="007D1B9F" w:rsidRPr="00403A8F">
        <w:rPr>
          <w:rFonts w:ascii="DecimaWE Rg" w:hAnsi="DecimaWE Rg" w:cs="DecimaWE Rg"/>
        </w:rPr>
        <w:t>;</w:t>
      </w:r>
    </w:p>
    <w:p w14:paraId="5AE17C7F" w14:textId="2D31DDCC" w:rsidR="00E408C8" w:rsidRPr="003A157C" w:rsidRDefault="00403A8F" w:rsidP="00403A8F">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3A157C">
        <w:rPr>
          <w:rFonts w:ascii="DecimaWE Rg" w:hAnsi="DecimaWE Rg" w:cs="DecimaWE Rg"/>
          <w:sz w:val="22"/>
          <w:szCs w:val="22"/>
        </w:rPr>
        <w:t>a rispettare il vincolo di stabilità delle operazioni di cui all’art. 71 del Reg.(UE) n. 1303/2013 e di cui all’art. 26 del bando ove dovuto, fatti salvi i casi di forza maggiore</w:t>
      </w:r>
      <w:r w:rsidR="00E408C8" w:rsidRPr="003A157C">
        <w:rPr>
          <w:rFonts w:ascii="DecimaWE Rg" w:hAnsi="DecimaWE Rg" w:cs="DecimaWE Rg"/>
          <w:sz w:val="22"/>
          <w:szCs w:val="22"/>
        </w:rPr>
        <w:t>;</w:t>
      </w:r>
    </w:p>
    <w:p w14:paraId="268A82C5" w14:textId="77777777"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6F548DD8"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 xml:space="preserve">realizzare </w:t>
      </w:r>
      <w:r w:rsidR="00403A8F">
        <w:rPr>
          <w:rFonts w:ascii="DecimaWE Rg" w:hAnsi="DecimaWE Rg" w:cs="DecimaWE Rg"/>
          <w:sz w:val="22"/>
          <w:szCs w:val="22"/>
        </w:rPr>
        <w:t>l’operazione</w:t>
      </w:r>
      <w:r w:rsidR="00403A8F" w:rsidRPr="00D613D5">
        <w:rPr>
          <w:rFonts w:ascii="DecimaWE Rg" w:hAnsi="DecimaWE Rg" w:cs="DecimaWE Rg"/>
          <w:sz w:val="22"/>
          <w:szCs w:val="22"/>
        </w:rPr>
        <w:t xml:space="preserve"> </w:t>
      </w:r>
      <w:r w:rsidR="00D613D5" w:rsidRPr="00D613D5">
        <w:rPr>
          <w:rFonts w:ascii="DecimaWE Rg" w:hAnsi="DecimaWE Rg" w:cs="DecimaWE Rg"/>
          <w:sz w:val="22"/>
          <w:szCs w:val="22"/>
        </w:rPr>
        <w:t xml:space="preserve">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8C1EEF"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8C1EEF">
        <w:rPr>
          <w:rFonts w:ascii="DecimaWE Rg" w:hAnsi="DecimaWE Rg" w:cs="DecimaWE Rg"/>
          <w:sz w:val="22"/>
          <w:szCs w:val="22"/>
        </w:rPr>
        <w:t>rispettare le norme in materia di sicurezza sui luoghi di lavoro (</w:t>
      </w:r>
      <w:proofErr w:type="spellStart"/>
      <w:proofErr w:type="gramStart"/>
      <w:r w:rsidR="00E30722" w:rsidRPr="008C1EEF">
        <w:rPr>
          <w:rFonts w:ascii="DecimaWE Rg" w:hAnsi="DecimaWE Rg" w:cs="DecimaWE Rg"/>
          <w:sz w:val="22"/>
          <w:szCs w:val="22"/>
        </w:rPr>
        <w:t>D.Lgs</w:t>
      </w:r>
      <w:proofErr w:type="spellEnd"/>
      <w:proofErr w:type="gramEnd"/>
      <w:r w:rsidR="00E30722" w:rsidRPr="008C1EEF">
        <w:rPr>
          <w:rFonts w:ascii="DecimaWE Rg" w:hAnsi="DecimaWE Rg" w:cs="DecimaWE Rg"/>
          <w:sz w:val="22"/>
          <w:szCs w:val="22"/>
        </w:rPr>
        <w:t xml:space="preserve"> n. 81/2008); </w:t>
      </w:r>
    </w:p>
    <w:p w14:paraId="4E8C86CE" w14:textId="67437142" w:rsidR="00BC3C74"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lastRenderedPageBreak/>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215CCD37" w14:textId="0AA6619E" w:rsidR="004F6829" w:rsidRDefault="004F6829" w:rsidP="004F6829">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a garantire la conservazione per </w:t>
      </w:r>
      <w:r w:rsidRPr="005043A4">
        <w:rPr>
          <w:rFonts w:ascii="DecimaWE Rg" w:hAnsi="DecimaWE Rg" w:cs="DecimaWE Rg"/>
          <w:sz w:val="22"/>
          <w:szCs w:val="22"/>
        </w:rPr>
        <w:t>10</w:t>
      </w:r>
      <w:r w:rsidRPr="00D65603">
        <w:rPr>
          <w:rFonts w:ascii="DecimaWE Rg" w:hAnsi="DecimaWE Rg" w:cs="DecimaWE Rg"/>
          <w:sz w:val="22"/>
          <w:szCs w:val="22"/>
        </w:rPr>
        <w:t xml:space="preserve"> anni dei titoli di spesa originali utilizzati per la rendicontazione delle spese sostenute, con decorrenza dalla data d</w:t>
      </w:r>
      <w:r>
        <w:rPr>
          <w:rFonts w:ascii="DecimaWE Rg" w:hAnsi="DecimaWE Rg" w:cs="DecimaWE Rg"/>
          <w:sz w:val="22"/>
          <w:szCs w:val="22"/>
        </w:rPr>
        <w:t>el decreto</w:t>
      </w:r>
      <w:r w:rsidRPr="00D65603">
        <w:rPr>
          <w:rFonts w:ascii="DecimaWE Rg" w:hAnsi="DecimaWE Rg" w:cs="DecimaWE Rg"/>
          <w:sz w:val="22"/>
          <w:szCs w:val="22"/>
        </w:rPr>
        <w:t xml:space="preserve"> </w:t>
      </w:r>
      <w:r>
        <w:rPr>
          <w:rFonts w:ascii="DecimaWE Rg" w:hAnsi="DecimaWE Rg" w:cs="DecimaWE Rg"/>
          <w:sz w:val="22"/>
          <w:szCs w:val="22"/>
        </w:rPr>
        <w:t>di liquidazione</w:t>
      </w:r>
      <w:r w:rsidRPr="00D65603">
        <w:rPr>
          <w:rFonts w:ascii="DecimaWE Rg" w:hAnsi="DecimaWE Rg" w:cs="DecimaWE Rg"/>
          <w:sz w:val="22"/>
          <w:szCs w:val="22"/>
        </w:rPr>
        <w:t xml:space="preserve"> del saldo finale;</w:t>
      </w:r>
    </w:p>
    <w:p w14:paraId="2BFBA645" w14:textId="77777777" w:rsidR="004F6829" w:rsidRPr="004F6829" w:rsidRDefault="004F6829" w:rsidP="004F6829">
      <w:pPr>
        <w:pStyle w:val="PARAGRAFOSTANDARDN"/>
        <w:autoSpaceDE w:val="0"/>
        <w:autoSpaceDN w:val="0"/>
        <w:adjustRightInd w:val="0"/>
        <w:spacing w:before="120" w:after="120" w:line="276" w:lineRule="auto"/>
        <w:ind w:left="360"/>
        <w:rPr>
          <w:rFonts w:ascii="DecimaWE Rg" w:hAnsi="DecimaWE Rg" w:cs="DecimaWE Rg"/>
          <w:sz w:val="22"/>
          <w:szCs w:val="22"/>
        </w:rPr>
      </w:pP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N. 33 del 14 marzo 2013, in caso di ammissione a contributo della presente domanda;</w:t>
      </w:r>
    </w:p>
    <w:p w14:paraId="5B20FB7D" w14:textId="77777777" w:rsidR="00726A15" w:rsidRPr="005A2A44"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5DE80400" w14:textId="023279BE" w:rsidR="00726A15" w:rsidRPr="00726A15"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01B023E3" w14:textId="6EFCEE8E" w:rsidR="005C520E" w:rsidRPr="002F15B0" w:rsidRDefault="00D51F1B" w:rsidP="00896394">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B103978" w14:textId="7CAD916A" w:rsidR="00C03FF1" w:rsidRPr="00396DB9" w:rsidRDefault="00871B09" w:rsidP="00396DB9">
      <w:pPr>
        <w:pStyle w:val="Testonotaapidipagina"/>
        <w:rPr>
          <w:rFonts w:ascii="DecimaWE Rg" w:hAnsi="DecimaWE Rg" w:cs="DecimaWE Rg"/>
          <w:sz w:val="22"/>
          <w:szCs w:val="22"/>
        </w:rPr>
      </w:pP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lastRenderedPageBreak/>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lastRenderedPageBreak/>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EA88C" w14:textId="77777777" w:rsidR="00C66C79" w:rsidRDefault="00C66C79" w:rsidP="00C257F8">
      <w:pPr>
        <w:spacing w:after="0" w:line="240" w:lineRule="auto"/>
      </w:pPr>
      <w:r>
        <w:separator/>
      </w:r>
    </w:p>
  </w:endnote>
  <w:endnote w:type="continuationSeparator" w:id="0">
    <w:p w14:paraId="07072904" w14:textId="77777777" w:rsidR="00C66C79" w:rsidRDefault="00C66C79"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altName w:val="Times New Roman"/>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67DA94DB" w14:textId="3B628B65" w:rsidR="00297FC2" w:rsidRDefault="00297FC2" w:rsidP="00B34467">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w:t>
            </w:r>
            <w:r w:rsidR="00130451">
              <w:rPr>
                <w:rFonts w:ascii="DecimaWE Rg" w:eastAsia="Times New Roman" w:hAnsi="DecimaWE Rg"/>
                <w:bCs/>
                <w:color w:val="000000"/>
                <w:sz w:val="20"/>
                <w:szCs w:val="20"/>
                <w:lang w:val="en-US" w:eastAsia="it-IT"/>
              </w:rPr>
              <w:t xml:space="preserve">Art. </w:t>
            </w:r>
            <w:r w:rsidR="00B1643A" w:rsidRPr="00FD215B">
              <w:rPr>
                <w:rFonts w:ascii="DecimaWE Rg" w:eastAsia="Times New Roman" w:hAnsi="DecimaWE Rg"/>
                <w:bCs/>
                <w:color w:val="000000"/>
                <w:sz w:val="20"/>
                <w:szCs w:val="20"/>
                <w:lang w:val="en-US" w:eastAsia="it-IT"/>
              </w:rPr>
              <w:t xml:space="preserve">68, par. 1, </w:t>
            </w:r>
            <w:proofErr w:type="spellStart"/>
            <w:r w:rsidR="00B1643A" w:rsidRPr="00FD215B">
              <w:rPr>
                <w:rFonts w:ascii="DecimaWE Rg" w:eastAsia="Times New Roman" w:hAnsi="DecimaWE Rg"/>
                <w:bCs/>
                <w:color w:val="000000"/>
                <w:sz w:val="20"/>
                <w:szCs w:val="20"/>
                <w:lang w:val="en-US" w:eastAsia="it-IT"/>
              </w:rPr>
              <w:t>lett</w:t>
            </w:r>
            <w:proofErr w:type="spellEnd"/>
            <w:r w:rsidR="00B1643A" w:rsidRPr="00FD215B">
              <w:rPr>
                <w:rFonts w:ascii="DecimaWE Rg" w:eastAsia="Times New Roman" w:hAnsi="DecimaWE Rg"/>
                <w:bCs/>
                <w:color w:val="000000"/>
                <w:sz w:val="20"/>
                <w:szCs w:val="20"/>
                <w:lang w:val="en-US" w:eastAsia="it-IT"/>
              </w:rPr>
              <w:t xml:space="preserve">. b), c), d), e), g) </w:t>
            </w:r>
            <w:r w:rsidRPr="004566DA">
              <w:rPr>
                <w:rFonts w:ascii="DecimaWE Rg" w:eastAsia="Times New Roman" w:hAnsi="DecimaWE Rg"/>
                <w:bCs/>
                <w:color w:val="000000"/>
                <w:sz w:val="20"/>
                <w:szCs w:val="20"/>
                <w:lang w:val="en-US" w:eastAsia="it-IT"/>
              </w:rPr>
              <w:t xml:space="preserve">del Reg. (UE) n. 508/2014 </w:t>
            </w:r>
          </w:p>
          <w:p w14:paraId="478D7278" w14:textId="77777777" w:rsidR="00297FC2" w:rsidRPr="00C116E5" w:rsidRDefault="00297FC2" w:rsidP="00B344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37889527" w:rsidR="00297FC2" w:rsidRPr="00C116E5" w:rsidRDefault="00297FC2"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BF75A7">
              <w:rPr>
                <w:bCs/>
                <w:noProof/>
              </w:rPr>
              <w:t>6</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BF75A7">
              <w:rPr>
                <w:bCs/>
                <w:noProof/>
              </w:rPr>
              <w:t>10</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A3852" w14:textId="77777777" w:rsidR="00C66C79" w:rsidRDefault="00C66C79" w:rsidP="00C257F8">
      <w:pPr>
        <w:spacing w:after="0" w:line="240" w:lineRule="auto"/>
      </w:pPr>
      <w:r>
        <w:separator/>
      </w:r>
    </w:p>
  </w:footnote>
  <w:footnote w:type="continuationSeparator" w:id="0">
    <w:p w14:paraId="2D854D22" w14:textId="77777777" w:rsidR="00C66C79" w:rsidRDefault="00C66C79"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B6DA1" w14:textId="73AE9372" w:rsidR="004901F2" w:rsidRDefault="004901F2" w:rsidP="00D65603">
    <w:pPr>
      <w:pStyle w:val="Intestazione"/>
      <w:rPr>
        <w:rStyle w:val="info-label"/>
      </w:rPr>
    </w:pPr>
    <w:r>
      <w:rPr>
        <w:noProof/>
        <w:lang w:eastAsia="it-IT"/>
      </w:rPr>
      <w:drawing>
        <wp:anchor distT="0" distB="0" distL="114300" distR="114300" simplePos="0" relativeHeight="251659264" behindDoc="1" locked="0" layoutInCell="1" allowOverlap="1" wp14:anchorId="0969A98C" wp14:editId="3FA7D9BB">
          <wp:simplePos x="0" y="0"/>
          <wp:positionH relativeFrom="column">
            <wp:posOffset>-261249</wp:posOffset>
          </wp:positionH>
          <wp:positionV relativeFrom="paragraph">
            <wp:posOffset>-161925</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sidR="00297FC2">
      <w:rPr>
        <w:rStyle w:val="info-label"/>
      </w:rPr>
      <w:tab/>
    </w:r>
  </w:p>
  <w:p w14:paraId="3BD9EADA" w14:textId="4F282471" w:rsidR="004901F2" w:rsidRDefault="004901F2" w:rsidP="004901F2">
    <w:pPr>
      <w:pStyle w:val="Intestazione"/>
      <w:jc w:val="right"/>
      <w:rPr>
        <w:rStyle w:val="info-label"/>
        <w:rFonts w:ascii="DecimaWE Rg" w:hAnsi="DecimaWE Rg"/>
        <w:b/>
        <w:color w:val="1F497D" w:themeColor="text2"/>
      </w:rPr>
    </w:pPr>
  </w:p>
  <w:p w14:paraId="520AEF79" w14:textId="77777777" w:rsidR="00F84489" w:rsidRDefault="00F84489" w:rsidP="004901F2">
    <w:pPr>
      <w:pStyle w:val="Intestazione"/>
      <w:jc w:val="right"/>
      <w:rPr>
        <w:rStyle w:val="info-label"/>
        <w:rFonts w:ascii="DecimaWE Rg" w:hAnsi="DecimaWE Rg"/>
        <w:b/>
        <w:color w:val="1F497D" w:themeColor="text2"/>
      </w:rPr>
    </w:pPr>
  </w:p>
  <w:p w14:paraId="3F2510EA" w14:textId="701E3C0C" w:rsidR="00297FC2" w:rsidRPr="00D65603" w:rsidRDefault="004F52D7" w:rsidP="00F84489">
    <w:pPr>
      <w:pStyle w:val="Intestazione"/>
      <w:spacing w:before="120" w:after="120"/>
      <w:jc w:val="right"/>
      <w:rPr>
        <w:rStyle w:val="info-label"/>
      </w:rPr>
    </w:pPr>
    <w:r>
      <w:rPr>
        <w:rStyle w:val="info-label"/>
        <w:rFonts w:ascii="DecimaWE Rg" w:hAnsi="DecimaWE Rg"/>
        <w:b/>
        <w:color w:val="1F497D" w:themeColor="text2"/>
      </w:rPr>
      <w:t xml:space="preserve">Modulo </w:t>
    </w:r>
    <w:r w:rsidR="00A56AC3">
      <w:rPr>
        <w:rStyle w:val="info-label"/>
        <w:rFonts w:ascii="DecimaWE Rg" w:hAnsi="DecimaWE Rg"/>
        <w:b/>
        <w:color w:val="1F497D" w:themeColor="text2"/>
      </w:rPr>
      <w:t>18.2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2F95"/>
    <w:rsid w:val="00013035"/>
    <w:rsid w:val="000147F9"/>
    <w:rsid w:val="00016FFE"/>
    <w:rsid w:val="0002020C"/>
    <w:rsid w:val="000241C3"/>
    <w:rsid w:val="00024C82"/>
    <w:rsid w:val="000262B7"/>
    <w:rsid w:val="00027151"/>
    <w:rsid w:val="00032643"/>
    <w:rsid w:val="00032D6D"/>
    <w:rsid w:val="0003437F"/>
    <w:rsid w:val="00035235"/>
    <w:rsid w:val="00035750"/>
    <w:rsid w:val="00037488"/>
    <w:rsid w:val="00040FCA"/>
    <w:rsid w:val="00041078"/>
    <w:rsid w:val="00041DE7"/>
    <w:rsid w:val="000429EA"/>
    <w:rsid w:val="00045078"/>
    <w:rsid w:val="000509EC"/>
    <w:rsid w:val="00050F1D"/>
    <w:rsid w:val="00052531"/>
    <w:rsid w:val="000541BD"/>
    <w:rsid w:val="00054430"/>
    <w:rsid w:val="000601E2"/>
    <w:rsid w:val="00060873"/>
    <w:rsid w:val="00061367"/>
    <w:rsid w:val="000616B4"/>
    <w:rsid w:val="00062770"/>
    <w:rsid w:val="00062C43"/>
    <w:rsid w:val="00063A5B"/>
    <w:rsid w:val="000648D6"/>
    <w:rsid w:val="00065AC6"/>
    <w:rsid w:val="00066E8C"/>
    <w:rsid w:val="00071C01"/>
    <w:rsid w:val="00072DEC"/>
    <w:rsid w:val="0007693C"/>
    <w:rsid w:val="000775E4"/>
    <w:rsid w:val="00080B08"/>
    <w:rsid w:val="00081A5F"/>
    <w:rsid w:val="0008257A"/>
    <w:rsid w:val="00082896"/>
    <w:rsid w:val="00085114"/>
    <w:rsid w:val="00086EEE"/>
    <w:rsid w:val="00091FD7"/>
    <w:rsid w:val="00095944"/>
    <w:rsid w:val="00095B90"/>
    <w:rsid w:val="00096807"/>
    <w:rsid w:val="00097B15"/>
    <w:rsid w:val="000A06D8"/>
    <w:rsid w:val="000A0F7B"/>
    <w:rsid w:val="000A4970"/>
    <w:rsid w:val="000A5D6B"/>
    <w:rsid w:val="000A6E3B"/>
    <w:rsid w:val="000A7B72"/>
    <w:rsid w:val="000B609B"/>
    <w:rsid w:val="000B6C20"/>
    <w:rsid w:val="000C0217"/>
    <w:rsid w:val="000C1AC3"/>
    <w:rsid w:val="000C211F"/>
    <w:rsid w:val="000C3F5E"/>
    <w:rsid w:val="000C4999"/>
    <w:rsid w:val="000D0E93"/>
    <w:rsid w:val="000D1080"/>
    <w:rsid w:val="000D206C"/>
    <w:rsid w:val="000D20E5"/>
    <w:rsid w:val="000D3C3D"/>
    <w:rsid w:val="000E1A41"/>
    <w:rsid w:val="000E3643"/>
    <w:rsid w:val="000E5DFA"/>
    <w:rsid w:val="000E6920"/>
    <w:rsid w:val="000E7BF4"/>
    <w:rsid w:val="000F1D8B"/>
    <w:rsid w:val="000F1E0A"/>
    <w:rsid w:val="000F25EB"/>
    <w:rsid w:val="000F2E06"/>
    <w:rsid w:val="000F34F4"/>
    <w:rsid w:val="000F5955"/>
    <w:rsid w:val="000F63D4"/>
    <w:rsid w:val="000F692F"/>
    <w:rsid w:val="001029D2"/>
    <w:rsid w:val="00110149"/>
    <w:rsid w:val="00111D43"/>
    <w:rsid w:val="00113D8B"/>
    <w:rsid w:val="00114943"/>
    <w:rsid w:val="00115987"/>
    <w:rsid w:val="00116A8D"/>
    <w:rsid w:val="00120411"/>
    <w:rsid w:val="00130451"/>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996"/>
    <w:rsid w:val="00186AB4"/>
    <w:rsid w:val="001875B7"/>
    <w:rsid w:val="00191C2D"/>
    <w:rsid w:val="001922DE"/>
    <w:rsid w:val="00192B63"/>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550F"/>
    <w:rsid w:val="001E635B"/>
    <w:rsid w:val="001F07FA"/>
    <w:rsid w:val="001F0AB5"/>
    <w:rsid w:val="001F1101"/>
    <w:rsid w:val="001F1166"/>
    <w:rsid w:val="001F2A5F"/>
    <w:rsid w:val="001F3D00"/>
    <w:rsid w:val="001F42E5"/>
    <w:rsid w:val="001F51E4"/>
    <w:rsid w:val="001F5280"/>
    <w:rsid w:val="001F7704"/>
    <w:rsid w:val="00202191"/>
    <w:rsid w:val="002060DA"/>
    <w:rsid w:val="00211F1B"/>
    <w:rsid w:val="002126CC"/>
    <w:rsid w:val="002135D6"/>
    <w:rsid w:val="00213BCE"/>
    <w:rsid w:val="002162D9"/>
    <w:rsid w:val="00220E0F"/>
    <w:rsid w:val="00223908"/>
    <w:rsid w:val="00223D7C"/>
    <w:rsid w:val="00223F52"/>
    <w:rsid w:val="00227073"/>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60142"/>
    <w:rsid w:val="0026047D"/>
    <w:rsid w:val="00260FC2"/>
    <w:rsid w:val="00261E6C"/>
    <w:rsid w:val="002621FD"/>
    <w:rsid w:val="00265B3B"/>
    <w:rsid w:val="002663E1"/>
    <w:rsid w:val="00266710"/>
    <w:rsid w:val="0027123A"/>
    <w:rsid w:val="00271B3A"/>
    <w:rsid w:val="00272B0C"/>
    <w:rsid w:val="00275416"/>
    <w:rsid w:val="00280CE4"/>
    <w:rsid w:val="00283D2E"/>
    <w:rsid w:val="00285308"/>
    <w:rsid w:val="00287571"/>
    <w:rsid w:val="002877A4"/>
    <w:rsid w:val="00292408"/>
    <w:rsid w:val="00292A5F"/>
    <w:rsid w:val="0029552B"/>
    <w:rsid w:val="00295F0E"/>
    <w:rsid w:val="0029721B"/>
    <w:rsid w:val="00297E3F"/>
    <w:rsid w:val="00297FC2"/>
    <w:rsid w:val="002A2079"/>
    <w:rsid w:val="002A2580"/>
    <w:rsid w:val="002A6459"/>
    <w:rsid w:val="002A7921"/>
    <w:rsid w:val="002B0875"/>
    <w:rsid w:val="002B2ACF"/>
    <w:rsid w:val="002B2C06"/>
    <w:rsid w:val="002B2EA0"/>
    <w:rsid w:val="002B553B"/>
    <w:rsid w:val="002C3999"/>
    <w:rsid w:val="002C40C1"/>
    <w:rsid w:val="002C4BBC"/>
    <w:rsid w:val="002D353E"/>
    <w:rsid w:val="002D506F"/>
    <w:rsid w:val="002D7EE0"/>
    <w:rsid w:val="002E0E77"/>
    <w:rsid w:val="002E6352"/>
    <w:rsid w:val="002F15B0"/>
    <w:rsid w:val="002F2694"/>
    <w:rsid w:val="002F2CA7"/>
    <w:rsid w:val="002F3469"/>
    <w:rsid w:val="003010E7"/>
    <w:rsid w:val="00311442"/>
    <w:rsid w:val="003124D8"/>
    <w:rsid w:val="00312C52"/>
    <w:rsid w:val="0031320D"/>
    <w:rsid w:val="00315F21"/>
    <w:rsid w:val="00317DB7"/>
    <w:rsid w:val="0032327E"/>
    <w:rsid w:val="00323739"/>
    <w:rsid w:val="00325A0D"/>
    <w:rsid w:val="0032729D"/>
    <w:rsid w:val="0032738E"/>
    <w:rsid w:val="00327C8D"/>
    <w:rsid w:val="00332B43"/>
    <w:rsid w:val="00334740"/>
    <w:rsid w:val="00334BF7"/>
    <w:rsid w:val="00337B0D"/>
    <w:rsid w:val="00342102"/>
    <w:rsid w:val="00342C08"/>
    <w:rsid w:val="0034479A"/>
    <w:rsid w:val="00344F41"/>
    <w:rsid w:val="00345F14"/>
    <w:rsid w:val="003476DE"/>
    <w:rsid w:val="00347910"/>
    <w:rsid w:val="00355B75"/>
    <w:rsid w:val="003560EC"/>
    <w:rsid w:val="00356C54"/>
    <w:rsid w:val="003639D4"/>
    <w:rsid w:val="00364BC5"/>
    <w:rsid w:val="00365E36"/>
    <w:rsid w:val="00372D29"/>
    <w:rsid w:val="00372E60"/>
    <w:rsid w:val="003738E6"/>
    <w:rsid w:val="00374155"/>
    <w:rsid w:val="0037783D"/>
    <w:rsid w:val="00380D26"/>
    <w:rsid w:val="0038146B"/>
    <w:rsid w:val="00382EF2"/>
    <w:rsid w:val="0038520D"/>
    <w:rsid w:val="00385F42"/>
    <w:rsid w:val="00386EED"/>
    <w:rsid w:val="00387248"/>
    <w:rsid w:val="003877FF"/>
    <w:rsid w:val="003913E8"/>
    <w:rsid w:val="00392189"/>
    <w:rsid w:val="00392297"/>
    <w:rsid w:val="00393449"/>
    <w:rsid w:val="00396DB9"/>
    <w:rsid w:val="00397172"/>
    <w:rsid w:val="003A0791"/>
    <w:rsid w:val="003A157C"/>
    <w:rsid w:val="003A18F4"/>
    <w:rsid w:val="003A1A2A"/>
    <w:rsid w:val="003A2236"/>
    <w:rsid w:val="003A42EF"/>
    <w:rsid w:val="003B0158"/>
    <w:rsid w:val="003B0905"/>
    <w:rsid w:val="003B09D1"/>
    <w:rsid w:val="003B2149"/>
    <w:rsid w:val="003B2712"/>
    <w:rsid w:val="003B2FAC"/>
    <w:rsid w:val="003B7138"/>
    <w:rsid w:val="003B73DC"/>
    <w:rsid w:val="003C4FE9"/>
    <w:rsid w:val="003D069C"/>
    <w:rsid w:val="003D2353"/>
    <w:rsid w:val="003D32BB"/>
    <w:rsid w:val="003D3FDE"/>
    <w:rsid w:val="003D438F"/>
    <w:rsid w:val="003E1F74"/>
    <w:rsid w:val="003E4BAE"/>
    <w:rsid w:val="003E5849"/>
    <w:rsid w:val="003E62A4"/>
    <w:rsid w:val="003E77C3"/>
    <w:rsid w:val="003E7BB6"/>
    <w:rsid w:val="003F1BAA"/>
    <w:rsid w:val="003F2F7F"/>
    <w:rsid w:val="003F541F"/>
    <w:rsid w:val="003F5945"/>
    <w:rsid w:val="003F61A2"/>
    <w:rsid w:val="003F6D0D"/>
    <w:rsid w:val="00400A61"/>
    <w:rsid w:val="004010B3"/>
    <w:rsid w:val="00402310"/>
    <w:rsid w:val="00402339"/>
    <w:rsid w:val="00403A8F"/>
    <w:rsid w:val="004047F2"/>
    <w:rsid w:val="004049F2"/>
    <w:rsid w:val="00404C7C"/>
    <w:rsid w:val="0040721B"/>
    <w:rsid w:val="004135DA"/>
    <w:rsid w:val="004140FA"/>
    <w:rsid w:val="0041752E"/>
    <w:rsid w:val="0042044D"/>
    <w:rsid w:val="0042130B"/>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47A0"/>
    <w:rsid w:val="004901F2"/>
    <w:rsid w:val="00490BBD"/>
    <w:rsid w:val="0049275C"/>
    <w:rsid w:val="0049283B"/>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0B4E"/>
    <w:rsid w:val="004D4776"/>
    <w:rsid w:val="004D7A74"/>
    <w:rsid w:val="004E006E"/>
    <w:rsid w:val="004E020D"/>
    <w:rsid w:val="004E40EB"/>
    <w:rsid w:val="004E4268"/>
    <w:rsid w:val="004E588C"/>
    <w:rsid w:val="004E6DEB"/>
    <w:rsid w:val="004E77F2"/>
    <w:rsid w:val="004F1283"/>
    <w:rsid w:val="004F181B"/>
    <w:rsid w:val="004F2317"/>
    <w:rsid w:val="004F52D7"/>
    <w:rsid w:val="004F6829"/>
    <w:rsid w:val="004F7417"/>
    <w:rsid w:val="004F7C53"/>
    <w:rsid w:val="00500C00"/>
    <w:rsid w:val="00506D60"/>
    <w:rsid w:val="0050722C"/>
    <w:rsid w:val="00510282"/>
    <w:rsid w:val="005129E6"/>
    <w:rsid w:val="005130DD"/>
    <w:rsid w:val="005133CF"/>
    <w:rsid w:val="00520CE7"/>
    <w:rsid w:val="00521699"/>
    <w:rsid w:val="00523A94"/>
    <w:rsid w:val="00531887"/>
    <w:rsid w:val="0054017C"/>
    <w:rsid w:val="00541639"/>
    <w:rsid w:val="00541C40"/>
    <w:rsid w:val="00542854"/>
    <w:rsid w:val="00545C53"/>
    <w:rsid w:val="00546418"/>
    <w:rsid w:val="00550152"/>
    <w:rsid w:val="0055053E"/>
    <w:rsid w:val="00551C94"/>
    <w:rsid w:val="005526A4"/>
    <w:rsid w:val="00561329"/>
    <w:rsid w:val="00561456"/>
    <w:rsid w:val="00561BA7"/>
    <w:rsid w:val="00561D3D"/>
    <w:rsid w:val="00561FBC"/>
    <w:rsid w:val="00563B77"/>
    <w:rsid w:val="0056476C"/>
    <w:rsid w:val="00564B94"/>
    <w:rsid w:val="00565150"/>
    <w:rsid w:val="0056663A"/>
    <w:rsid w:val="00572617"/>
    <w:rsid w:val="0057393D"/>
    <w:rsid w:val="00576471"/>
    <w:rsid w:val="005770C6"/>
    <w:rsid w:val="0058269B"/>
    <w:rsid w:val="00584340"/>
    <w:rsid w:val="00585392"/>
    <w:rsid w:val="0058715B"/>
    <w:rsid w:val="0059305F"/>
    <w:rsid w:val="005A0976"/>
    <w:rsid w:val="005A0C4C"/>
    <w:rsid w:val="005A0FF8"/>
    <w:rsid w:val="005A27CF"/>
    <w:rsid w:val="005A2A44"/>
    <w:rsid w:val="005A2FC3"/>
    <w:rsid w:val="005A3495"/>
    <w:rsid w:val="005A3595"/>
    <w:rsid w:val="005A53CC"/>
    <w:rsid w:val="005A5CDA"/>
    <w:rsid w:val="005A68B4"/>
    <w:rsid w:val="005B261D"/>
    <w:rsid w:val="005B37E3"/>
    <w:rsid w:val="005B70CE"/>
    <w:rsid w:val="005B7D2E"/>
    <w:rsid w:val="005C2D83"/>
    <w:rsid w:val="005C43B1"/>
    <w:rsid w:val="005C520E"/>
    <w:rsid w:val="005C75E3"/>
    <w:rsid w:val="005D191F"/>
    <w:rsid w:val="005D3FC4"/>
    <w:rsid w:val="005D4317"/>
    <w:rsid w:val="005D60D7"/>
    <w:rsid w:val="005D6623"/>
    <w:rsid w:val="005D7685"/>
    <w:rsid w:val="005E2422"/>
    <w:rsid w:val="005E30F6"/>
    <w:rsid w:val="005E3173"/>
    <w:rsid w:val="005E5167"/>
    <w:rsid w:val="005E57F7"/>
    <w:rsid w:val="005E7664"/>
    <w:rsid w:val="005F1B31"/>
    <w:rsid w:val="005F23DD"/>
    <w:rsid w:val="006007E3"/>
    <w:rsid w:val="006016CC"/>
    <w:rsid w:val="00602687"/>
    <w:rsid w:val="00602BB1"/>
    <w:rsid w:val="00605126"/>
    <w:rsid w:val="0061082C"/>
    <w:rsid w:val="006147B1"/>
    <w:rsid w:val="006151FF"/>
    <w:rsid w:val="00615920"/>
    <w:rsid w:val="006179D0"/>
    <w:rsid w:val="00620DAE"/>
    <w:rsid w:val="00623946"/>
    <w:rsid w:val="00624370"/>
    <w:rsid w:val="00626B8E"/>
    <w:rsid w:val="00627238"/>
    <w:rsid w:val="0063272B"/>
    <w:rsid w:val="00632774"/>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3FE7"/>
    <w:rsid w:val="00674063"/>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518"/>
    <w:rsid w:val="006B653F"/>
    <w:rsid w:val="006C260B"/>
    <w:rsid w:val="006C2B4E"/>
    <w:rsid w:val="006C581D"/>
    <w:rsid w:val="006D2836"/>
    <w:rsid w:val="006D2F3A"/>
    <w:rsid w:val="006D4499"/>
    <w:rsid w:val="006E17B1"/>
    <w:rsid w:val="006E194B"/>
    <w:rsid w:val="006E230B"/>
    <w:rsid w:val="006E3CEE"/>
    <w:rsid w:val="006F2D65"/>
    <w:rsid w:val="006F35DE"/>
    <w:rsid w:val="006F5CD1"/>
    <w:rsid w:val="006F6291"/>
    <w:rsid w:val="006F6294"/>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63F5"/>
    <w:rsid w:val="0075664B"/>
    <w:rsid w:val="00757D17"/>
    <w:rsid w:val="0076066C"/>
    <w:rsid w:val="0076365F"/>
    <w:rsid w:val="0077338C"/>
    <w:rsid w:val="00777A25"/>
    <w:rsid w:val="00783B63"/>
    <w:rsid w:val="007848F6"/>
    <w:rsid w:val="00785130"/>
    <w:rsid w:val="0078732E"/>
    <w:rsid w:val="0079066B"/>
    <w:rsid w:val="00791ADC"/>
    <w:rsid w:val="00793700"/>
    <w:rsid w:val="00795903"/>
    <w:rsid w:val="00797761"/>
    <w:rsid w:val="007A262A"/>
    <w:rsid w:val="007A31FE"/>
    <w:rsid w:val="007C1423"/>
    <w:rsid w:val="007C1F35"/>
    <w:rsid w:val="007C41CA"/>
    <w:rsid w:val="007C452A"/>
    <w:rsid w:val="007C4991"/>
    <w:rsid w:val="007C6EE1"/>
    <w:rsid w:val="007D0E5A"/>
    <w:rsid w:val="007D145A"/>
    <w:rsid w:val="007D1B9F"/>
    <w:rsid w:val="007D482D"/>
    <w:rsid w:val="007D5CB5"/>
    <w:rsid w:val="007D711E"/>
    <w:rsid w:val="007D77AF"/>
    <w:rsid w:val="007E5259"/>
    <w:rsid w:val="007F2D1F"/>
    <w:rsid w:val="007F5A1E"/>
    <w:rsid w:val="007F659D"/>
    <w:rsid w:val="008004C5"/>
    <w:rsid w:val="00800C90"/>
    <w:rsid w:val="00804527"/>
    <w:rsid w:val="00804E30"/>
    <w:rsid w:val="0080518A"/>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F3"/>
    <w:rsid w:val="00875928"/>
    <w:rsid w:val="00876EDA"/>
    <w:rsid w:val="0088011A"/>
    <w:rsid w:val="00881A14"/>
    <w:rsid w:val="0088322D"/>
    <w:rsid w:val="00896394"/>
    <w:rsid w:val="00897DD8"/>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1EEF"/>
    <w:rsid w:val="008C28A2"/>
    <w:rsid w:val="008C34EE"/>
    <w:rsid w:val="008C44A1"/>
    <w:rsid w:val="008C4995"/>
    <w:rsid w:val="008C5F5F"/>
    <w:rsid w:val="008C67B2"/>
    <w:rsid w:val="008C6B61"/>
    <w:rsid w:val="008D0319"/>
    <w:rsid w:val="008D114E"/>
    <w:rsid w:val="008D1CA9"/>
    <w:rsid w:val="008D235A"/>
    <w:rsid w:val="008D37C1"/>
    <w:rsid w:val="008E1B81"/>
    <w:rsid w:val="008E524C"/>
    <w:rsid w:val="008E64F4"/>
    <w:rsid w:val="008F28D2"/>
    <w:rsid w:val="008F3273"/>
    <w:rsid w:val="008F41B8"/>
    <w:rsid w:val="008F44DC"/>
    <w:rsid w:val="00900CEB"/>
    <w:rsid w:val="00904F97"/>
    <w:rsid w:val="009052E8"/>
    <w:rsid w:val="009110D5"/>
    <w:rsid w:val="00911330"/>
    <w:rsid w:val="00911EB0"/>
    <w:rsid w:val="009120E7"/>
    <w:rsid w:val="009123C1"/>
    <w:rsid w:val="009169BF"/>
    <w:rsid w:val="00920816"/>
    <w:rsid w:val="00921F6B"/>
    <w:rsid w:val="00922974"/>
    <w:rsid w:val="009237E3"/>
    <w:rsid w:val="0092566D"/>
    <w:rsid w:val="0092707F"/>
    <w:rsid w:val="0093072A"/>
    <w:rsid w:val="009358A2"/>
    <w:rsid w:val="00935FEE"/>
    <w:rsid w:val="009416C0"/>
    <w:rsid w:val="00941ECB"/>
    <w:rsid w:val="009443B9"/>
    <w:rsid w:val="00945EA3"/>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704AE"/>
    <w:rsid w:val="009771FA"/>
    <w:rsid w:val="00982587"/>
    <w:rsid w:val="0098302E"/>
    <w:rsid w:val="0098676A"/>
    <w:rsid w:val="009911D9"/>
    <w:rsid w:val="00993289"/>
    <w:rsid w:val="00994436"/>
    <w:rsid w:val="009A0BC6"/>
    <w:rsid w:val="009A0F2F"/>
    <w:rsid w:val="009A460D"/>
    <w:rsid w:val="009A5AD9"/>
    <w:rsid w:val="009B073E"/>
    <w:rsid w:val="009B21EF"/>
    <w:rsid w:val="009B36DD"/>
    <w:rsid w:val="009B447B"/>
    <w:rsid w:val="009C119A"/>
    <w:rsid w:val="009C250D"/>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3B6F"/>
    <w:rsid w:val="00A041D1"/>
    <w:rsid w:val="00A05A8E"/>
    <w:rsid w:val="00A10218"/>
    <w:rsid w:val="00A12498"/>
    <w:rsid w:val="00A17586"/>
    <w:rsid w:val="00A178C4"/>
    <w:rsid w:val="00A17DA3"/>
    <w:rsid w:val="00A2238A"/>
    <w:rsid w:val="00A223D1"/>
    <w:rsid w:val="00A23774"/>
    <w:rsid w:val="00A25BC4"/>
    <w:rsid w:val="00A26578"/>
    <w:rsid w:val="00A26C20"/>
    <w:rsid w:val="00A27BD2"/>
    <w:rsid w:val="00A3001F"/>
    <w:rsid w:val="00A30499"/>
    <w:rsid w:val="00A35700"/>
    <w:rsid w:val="00A372C2"/>
    <w:rsid w:val="00A3790B"/>
    <w:rsid w:val="00A42747"/>
    <w:rsid w:val="00A42BF5"/>
    <w:rsid w:val="00A47316"/>
    <w:rsid w:val="00A51465"/>
    <w:rsid w:val="00A5565F"/>
    <w:rsid w:val="00A56AC3"/>
    <w:rsid w:val="00A5702B"/>
    <w:rsid w:val="00A57D95"/>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294"/>
    <w:rsid w:val="00AC2A19"/>
    <w:rsid w:val="00AC3AA2"/>
    <w:rsid w:val="00AC7A39"/>
    <w:rsid w:val="00AD00B9"/>
    <w:rsid w:val="00AD23D7"/>
    <w:rsid w:val="00AE0849"/>
    <w:rsid w:val="00AE2F53"/>
    <w:rsid w:val="00AE321F"/>
    <w:rsid w:val="00AE543F"/>
    <w:rsid w:val="00AE5F2A"/>
    <w:rsid w:val="00AF05CC"/>
    <w:rsid w:val="00AF1650"/>
    <w:rsid w:val="00AF1ACE"/>
    <w:rsid w:val="00AF478B"/>
    <w:rsid w:val="00AF4A02"/>
    <w:rsid w:val="00AF55A5"/>
    <w:rsid w:val="00AF67E1"/>
    <w:rsid w:val="00AF7207"/>
    <w:rsid w:val="00B0120A"/>
    <w:rsid w:val="00B029EE"/>
    <w:rsid w:val="00B03041"/>
    <w:rsid w:val="00B0325B"/>
    <w:rsid w:val="00B06457"/>
    <w:rsid w:val="00B07C3A"/>
    <w:rsid w:val="00B106CC"/>
    <w:rsid w:val="00B142ED"/>
    <w:rsid w:val="00B143E1"/>
    <w:rsid w:val="00B1643A"/>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7262"/>
    <w:rsid w:val="00B505C6"/>
    <w:rsid w:val="00B51129"/>
    <w:rsid w:val="00B55650"/>
    <w:rsid w:val="00B57A05"/>
    <w:rsid w:val="00B6330E"/>
    <w:rsid w:val="00B63E35"/>
    <w:rsid w:val="00B63EEE"/>
    <w:rsid w:val="00B64D73"/>
    <w:rsid w:val="00B67F6E"/>
    <w:rsid w:val="00B71807"/>
    <w:rsid w:val="00B757F0"/>
    <w:rsid w:val="00B762AF"/>
    <w:rsid w:val="00B76B19"/>
    <w:rsid w:val="00B76BA3"/>
    <w:rsid w:val="00B771E5"/>
    <w:rsid w:val="00B77C56"/>
    <w:rsid w:val="00B8403D"/>
    <w:rsid w:val="00B86B64"/>
    <w:rsid w:val="00B87B48"/>
    <w:rsid w:val="00B909FE"/>
    <w:rsid w:val="00B90EB9"/>
    <w:rsid w:val="00B9147A"/>
    <w:rsid w:val="00B918AC"/>
    <w:rsid w:val="00B943B5"/>
    <w:rsid w:val="00B945A0"/>
    <w:rsid w:val="00B95157"/>
    <w:rsid w:val="00BA195C"/>
    <w:rsid w:val="00BA3532"/>
    <w:rsid w:val="00BA7C8E"/>
    <w:rsid w:val="00BB01B6"/>
    <w:rsid w:val="00BB117E"/>
    <w:rsid w:val="00BB2D14"/>
    <w:rsid w:val="00BB39EF"/>
    <w:rsid w:val="00BC3C74"/>
    <w:rsid w:val="00BC4851"/>
    <w:rsid w:val="00BC52C3"/>
    <w:rsid w:val="00BC6778"/>
    <w:rsid w:val="00BC736D"/>
    <w:rsid w:val="00BD0376"/>
    <w:rsid w:val="00BD4597"/>
    <w:rsid w:val="00BD4904"/>
    <w:rsid w:val="00BD79F5"/>
    <w:rsid w:val="00BE49F8"/>
    <w:rsid w:val="00BE697D"/>
    <w:rsid w:val="00BF122D"/>
    <w:rsid w:val="00BF3674"/>
    <w:rsid w:val="00BF531B"/>
    <w:rsid w:val="00BF75A7"/>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0F79"/>
    <w:rsid w:val="00C51051"/>
    <w:rsid w:val="00C514FD"/>
    <w:rsid w:val="00C53BC6"/>
    <w:rsid w:val="00C53C87"/>
    <w:rsid w:val="00C542A5"/>
    <w:rsid w:val="00C550D8"/>
    <w:rsid w:val="00C611E9"/>
    <w:rsid w:val="00C61A96"/>
    <w:rsid w:val="00C63170"/>
    <w:rsid w:val="00C64807"/>
    <w:rsid w:val="00C66C79"/>
    <w:rsid w:val="00C6791C"/>
    <w:rsid w:val="00C75097"/>
    <w:rsid w:val="00C83659"/>
    <w:rsid w:val="00C86724"/>
    <w:rsid w:val="00C91C39"/>
    <w:rsid w:val="00C930A2"/>
    <w:rsid w:val="00C93477"/>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33DC"/>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719B"/>
    <w:rsid w:val="00E005E8"/>
    <w:rsid w:val="00E0075E"/>
    <w:rsid w:val="00E0176A"/>
    <w:rsid w:val="00E018CD"/>
    <w:rsid w:val="00E02EA3"/>
    <w:rsid w:val="00E0373B"/>
    <w:rsid w:val="00E04899"/>
    <w:rsid w:val="00E048F4"/>
    <w:rsid w:val="00E05E08"/>
    <w:rsid w:val="00E114DB"/>
    <w:rsid w:val="00E143BA"/>
    <w:rsid w:val="00E17725"/>
    <w:rsid w:val="00E20B3E"/>
    <w:rsid w:val="00E22DA2"/>
    <w:rsid w:val="00E24FFC"/>
    <w:rsid w:val="00E26ED4"/>
    <w:rsid w:val="00E30722"/>
    <w:rsid w:val="00E31FEF"/>
    <w:rsid w:val="00E339AD"/>
    <w:rsid w:val="00E408C8"/>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43CE"/>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826"/>
    <w:rsid w:val="00F64CF9"/>
    <w:rsid w:val="00F725E8"/>
    <w:rsid w:val="00F73DEB"/>
    <w:rsid w:val="00F74338"/>
    <w:rsid w:val="00F76FAB"/>
    <w:rsid w:val="00F8042C"/>
    <w:rsid w:val="00F82873"/>
    <w:rsid w:val="00F84489"/>
    <w:rsid w:val="00F849F3"/>
    <w:rsid w:val="00F920AC"/>
    <w:rsid w:val="00F93369"/>
    <w:rsid w:val="00F93FB5"/>
    <w:rsid w:val="00F94A77"/>
    <w:rsid w:val="00FA025D"/>
    <w:rsid w:val="00FA3326"/>
    <w:rsid w:val="00FA3A87"/>
    <w:rsid w:val="00FA447C"/>
    <w:rsid w:val="00FA485A"/>
    <w:rsid w:val="00FA5D19"/>
    <w:rsid w:val="00FA66F0"/>
    <w:rsid w:val="00FB0D25"/>
    <w:rsid w:val="00FB14F1"/>
    <w:rsid w:val="00FB1AB4"/>
    <w:rsid w:val="00FB3F02"/>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C1499-132B-4B08-82A9-D60774EF5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4305</Words>
  <Characters>24539</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2020-02-26T08:52:00Z</dcterms:created>
  <dcterms:modified xsi:type="dcterms:W3CDTF">2022-11-16T12:29:00Z</dcterms:modified>
</cp:coreProperties>
</file>